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787" w:type="dxa"/>
        <w:jc w:val="center"/>
        <w:tblBorders>
          <w:bottom w:val="single" w:sz="4" w:space="0" w:color="auto"/>
        </w:tblBorders>
        <w:tblLook w:val="01E0" w:firstRow="1" w:lastRow="1" w:firstColumn="1" w:lastColumn="1" w:noHBand="0" w:noVBand="0"/>
      </w:tblPr>
      <w:tblGrid>
        <w:gridCol w:w="6944"/>
        <w:gridCol w:w="1843"/>
      </w:tblGrid>
      <w:tr w:rsidR="000A03B2" w:rsidRPr="00B57B36" w14:paraId="2A131A54" w14:textId="77777777" w:rsidTr="008E1FC5">
        <w:trPr>
          <w:trHeight w:val="852"/>
          <w:jc w:val="center"/>
        </w:trPr>
        <w:tc>
          <w:tcPr>
            <w:tcW w:w="6944"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GoBack"/>
            <w:bookmarkEnd w:id="0"/>
            <w:r w:rsidRPr="00B57B36">
              <w:rPr>
                <w:rFonts w:ascii="AdvP6960" w:hAnsi="AdvP6960" w:cs="AdvP6960"/>
                <w:noProof/>
                <w:color w:val="241F20"/>
                <w:szCs w:val="18"/>
                <w:lang w:val="pt-BR" w:eastAsia="pt-BR"/>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pt-BR" w:eastAsia="pt-BR"/>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8E1FC5">
        <w:trPr>
          <w:trHeight w:val="567"/>
          <w:jc w:val="center"/>
        </w:trPr>
        <w:tc>
          <w:tcPr>
            <w:tcW w:w="6944"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8E1FC5">
        <w:trPr>
          <w:trHeight w:val="68"/>
          <w:jc w:val="center"/>
        </w:trPr>
        <w:tc>
          <w:tcPr>
            <w:tcW w:w="8787" w:type="dxa"/>
            <w:gridSpan w:val="2"/>
          </w:tcPr>
          <w:p w14:paraId="1D8DD3C9" w14:textId="06DCB7F6" w:rsidR="00AA7D26" w:rsidRPr="003A6FC6" w:rsidRDefault="00AA7D26" w:rsidP="00AA7D26">
            <w:pPr>
              <w:ind w:left="-107"/>
              <w:outlineLvl w:val="2"/>
              <w:rPr>
                <w:rFonts w:ascii="Tahoma" w:hAnsi="Tahoma" w:cs="Tahoma"/>
                <w:bCs/>
                <w:color w:val="000000"/>
                <w:sz w:val="14"/>
                <w:szCs w:val="14"/>
                <w:lang w:val="it-IT" w:eastAsia="it-IT"/>
              </w:rPr>
            </w:pPr>
            <w:r w:rsidRPr="003A6FC6">
              <w:rPr>
                <w:rFonts w:ascii="Tahoma" w:hAnsi="Tahoma" w:cs="Tahoma"/>
                <w:iCs/>
                <w:color w:val="333333"/>
                <w:sz w:val="14"/>
                <w:szCs w:val="14"/>
                <w:lang w:val="it-IT" w:eastAsia="it-IT"/>
              </w:rPr>
              <w:t>Guest Editors:</w:t>
            </w:r>
            <w:r w:rsidRPr="003A6FC6">
              <w:rPr>
                <w:rFonts w:ascii="Tahoma" w:hAnsi="Tahoma" w:cs="Tahoma"/>
                <w:color w:val="000000"/>
                <w:sz w:val="14"/>
                <w:szCs w:val="14"/>
                <w:shd w:val="clear" w:color="auto" w:fill="FFFFFF"/>
                <w:lang w:val="it-IT"/>
              </w:rPr>
              <w:t xml:space="preserve"> </w:t>
            </w:r>
            <w:r w:rsidR="003A6FC6" w:rsidRPr="003A6FC6">
              <w:rPr>
                <w:rFonts w:ascii="Tahoma" w:hAnsi="Tahoma" w:cs="Tahoma"/>
                <w:color w:val="000000"/>
                <w:sz w:val="14"/>
                <w:szCs w:val="14"/>
                <w:shd w:val="clear" w:color="auto" w:fill="FFFFFF"/>
                <w:lang w:val="it-IT"/>
              </w:rPr>
              <w:t>Laura Piazza, M</w:t>
            </w:r>
            <w:r w:rsidR="003A6FC6">
              <w:rPr>
                <w:rFonts w:ascii="Tahoma" w:hAnsi="Tahoma" w:cs="Tahoma"/>
                <w:color w:val="000000"/>
                <w:sz w:val="14"/>
                <w:szCs w:val="14"/>
                <w:shd w:val="clear" w:color="auto" w:fill="FFFFFF"/>
                <w:lang w:val="it-IT"/>
              </w:rPr>
              <w:t>auro Moresi, Francesco Donsì</w:t>
            </w:r>
          </w:p>
          <w:p w14:paraId="1B0F1814" w14:textId="617BA86D"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8B7C03" w:rsidRPr="000562A9">
              <w:rPr>
                <w:rFonts w:ascii="Tahoma" w:hAnsi="Tahoma" w:cs="Tahoma"/>
                <w:sz w:val="14"/>
                <w:szCs w:val="14"/>
              </w:rPr>
              <w:t>97</w:t>
            </w:r>
            <w:r w:rsidR="008B7C03">
              <w:rPr>
                <w:rFonts w:ascii="Tahoma" w:hAnsi="Tahoma" w:cs="Tahoma"/>
                <w:sz w:val="14"/>
                <w:szCs w:val="14"/>
              </w:rPr>
              <w:t>9</w:t>
            </w:r>
            <w:r w:rsidR="008B7C03" w:rsidRPr="000562A9">
              <w:rPr>
                <w:rFonts w:ascii="Tahoma" w:hAnsi="Tahoma" w:cs="Tahoma"/>
                <w:sz w:val="14"/>
                <w:szCs w:val="14"/>
              </w:rPr>
              <w:t>-</w:t>
            </w:r>
            <w:r w:rsidR="008B7C03">
              <w:rPr>
                <w:rFonts w:ascii="Tahoma" w:hAnsi="Tahoma" w:cs="Tahoma"/>
                <w:sz w:val="14"/>
                <w:szCs w:val="14"/>
              </w:rPr>
              <w:t>12</w:t>
            </w:r>
            <w:r w:rsidR="008B7C03" w:rsidRPr="000562A9">
              <w:rPr>
                <w:rFonts w:ascii="Tahoma" w:hAnsi="Tahoma" w:cs="Tahoma"/>
                <w:sz w:val="14"/>
                <w:szCs w:val="14"/>
              </w:rPr>
              <w:t>-</w:t>
            </w:r>
            <w:r w:rsidR="008B7C03">
              <w:rPr>
                <w:rFonts w:ascii="Tahoma" w:hAnsi="Tahoma" w:cs="Tahoma"/>
                <w:sz w:val="14"/>
                <w:szCs w:val="14"/>
              </w:rPr>
              <w:t>81206</w:t>
            </w:r>
            <w:r>
              <w:rPr>
                <w:rFonts w:ascii="Tahoma" w:hAnsi="Tahoma" w:cs="Tahoma"/>
                <w:sz w:val="14"/>
                <w:szCs w:val="14"/>
              </w:rPr>
              <w:t>-</w:t>
            </w:r>
            <w:r w:rsidR="00E33DD7">
              <w:rPr>
                <w:rFonts w:ascii="Tahoma" w:hAnsi="Tahoma" w:cs="Tahoma"/>
                <w:sz w:val="14"/>
                <w:szCs w:val="14"/>
              </w:rPr>
              <w:t>0</w:t>
            </w:r>
            <w:r w:rsidR="003A6FC6">
              <w:rPr>
                <w:rFonts w:ascii="Tahoma" w:hAnsi="Tahoma" w:cs="Tahoma"/>
                <w:sz w:val="14"/>
                <w:szCs w:val="14"/>
              </w:rPr>
              <w:t>1</w:t>
            </w:r>
            <w:r>
              <w:rPr>
                <w:rFonts w:ascii="Tahoma" w:hAnsi="Tahoma" w:cs="Tahoma"/>
                <w:sz w:val="14"/>
                <w:szCs w:val="14"/>
              </w:rPr>
              <w:t>-</w:t>
            </w:r>
            <w:r w:rsidR="003A6FC6">
              <w:rPr>
                <w:rFonts w:ascii="Tahoma" w:hAnsi="Tahoma" w:cs="Tahoma"/>
                <w:sz w:val="14"/>
                <w:szCs w:val="14"/>
              </w:rPr>
              <w:t>4</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2F47D28E" w:rsidR="00E978D0" w:rsidRPr="00B57B36" w:rsidRDefault="008E1FC5" w:rsidP="008E1FC5">
      <w:pPr>
        <w:pStyle w:val="CETTitle"/>
      </w:pPr>
      <w:bookmarkStart w:id="1" w:name="_Hlk62987586"/>
      <w:r w:rsidRPr="00E02607">
        <w:t xml:space="preserve">Effect of </w:t>
      </w:r>
      <w:r>
        <w:t>A</w:t>
      </w:r>
      <w:r w:rsidRPr="00E02607">
        <w:t xml:space="preserve">cidity </w:t>
      </w:r>
      <w:r>
        <w:t>R</w:t>
      </w:r>
      <w:r w:rsidRPr="00E02607">
        <w:t xml:space="preserve">eduction and </w:t>
      </w:r>
      <w:r>
        <w:t>A</w:t>
      </w:r>
      <w:r w:rsidRPr="00E02607">
        <w:t xml:space="preserve">nticaking </w:t>
      </w:r>
      <w:r>
        <w:t>U</w:t>
      </w:r>
      <w:r w:rsidRPr="00E02607">
        <w:t xml:space="preserve">se on the </w:t>
      </w:r>
      <w:r>
        <w:t>H</w:t>
      </w:r>
      <w:r w:rsidRPr="00E02607">
        <w:t>ygroscopic</w:t>
      </w:r>
      <w:r>
        <w:t xml:space="preserve"> B</w:t>
      </w:r>
      <w:r w:rsidRPr="00E02607">
        <w:t xml:space="preserve">ehavior of </w:t>
      </w:r>
      <w:r>
        <w:t>T</w:t>
      </w:r>
      <w:r w:rsidRPr="00E02607">
        <w:t xml:space="preserve">amarind </w:t>
      </w:r>
      <w:r>
        <w:t>P</w:t>
      </w:r>
      <w:r w:rsidRPr="00E02607">
        <w:t xml:space="preserve">ulp </w:t>
      </w:r>
      <w:r>
        <w:t>P</w:t>
      </w:r>
      <w:r w:rsidRPr="00E02607">
        <w:t>owder</w:t>
      </w:r>
      <w:bookmarkEnd w:id="1"/>
    </w:p>
    <w:p w14:paraId="0488FED2" w14:textId="7CB50751" w:rsidR="00B57E6F" w:rsidRPr="00B57B36" w:rsidRDefault="008E1FC5" w:rsidP="00B57E6F">
      <w:pPr>
        <w:pStyle w:val="CETAuthors"/>
      </w:pPr>
      <w:r w:rsidRPr="00C661C9">
        <w:rPr>
          <w:lang w:val="pt-BR"/>
        </w:rPr>
        <w:t>Monique O. Maia</w:t>
      </w:r>
      <w:r w:rsidRPr="00C661C9">
        <w:rPr>
          <w:vertAlign w:val="superscript"/>
          <w:lang w:val="pt-BR"/>
        </w:rPr>
        <w:t>b</w:t>
      </w:r>
      <w:r w:rsidRPr="00C661C9">
        <w:rPr>
          <w:lang w:val="pt-BR"/>
        </w:rPr>
        <w:t>, Nedio J. Wurlitzer</w:t>
      </w:r>
      <w:r w:rsidRPr="00C661C9">
        <w:rPr>
          <w:vertAlign w:val="superscript"/>
          <w:lang w:val="pt-BR"/>
        </w:rPr>
        <w:t>a</w:t>
      </w:r>
      <w:r w:rsidRPr="00C661C9">
        <w:rPr>
          <w:lang w:val="pt-BR"/>
        </w:rPr>
        <w:t xml:space="preserve">*, </w:t>
      </w:r>
      <w:r w:rsidRPr="00E02607">
        <w:rPr>
          <w:lang w:val="pt-BR"/>
        </w:rPr>
        <w:t xml:space="preserve">Janaina </w:t>
      </w:r>
      <w:r>
        <w:rPr>
          <w:lang w:val="pt-BR"/>
        </w:rPr>
        <w:t>P.</w:t>
      </w:r>
      <w:r w:rsidRPr="00E02607">
        <w:rPr>
          <w:lang w:val="pt-BR"/>
        </w:rPr>
        <w:t xml:space="preserve"> Costa</w:t>
      </w:r>
      <w:r w:rsidRPr="00E02607">
        <w:rPr>
          <w:vertAlign w:val="superscript"/>
          <w:lang w:val="pt-BR"/>
        </w:rPr>
        <w:t>b</w:t>
      </w:r>
      <w:r w:rsidRPr="00E02607">
        <w:rPr>
          <w:lang w:val="pt-BR"/>
        </w:rPr>
        <w:t>,</w:t>
      </w:r>
      <w:r>
        <w:rPr>
          <w:lang w:val="pt-BR"/>
        </w:rPr>
        <w:t xml:space="preserve"> Luciana C. Ribeiro</w:t>
      </w:r>
      <w:r w:rsidRPr="00E02607">
        <w:rPr>
          <w:vertAlign w:val="superscript"/>
          <w:lang w:val="pt-BR"/>
        </w:rPr>
        <w:t>b</w:t>
      </w:r>
      <w:r w:rsidRPr="00E02607">
        <w:rPr>
          <w:lang w:val="pt-BR"/>
        </w:rPr>
        <w:t>, José M</w:t>
      </w:r>
      <w:r>
        <w:rPr>
          <w:lang w:val="pt-BR"/>
        </w:rPr>
        <w:t>.</w:t>
      </w:r>
      <w:r w:rsidRPr="00E02607">
        <w:rPr>
          <w:lang w:val="pt-BR"/>
        </w:rPr>
        <w:t xml:space="preserve"> C</w:t>
      </w:r>
      <w:r>
        <w:rPr>
          <w:lang w:val="pt-BR"/>
        </w:rPr>
        <w:t>.</w:t>
      </w:r>
      <w:r w:rsidRPr="00E02607">
        <w:rPr>
          <w:lang w:val="pt-BR"/>
        </w:rPr>
        <w:t xml:space="preserve"> Costa</w:t>
      </w:r>
      <w:r w:rsidRPr="00E02607">
        <w:rPr>
          <w:vertAlign w:val="superscript"/>
          <w:lang w:val="pt-BR"/>
        </w:rPr>
        <w:t>b</w:t>
      </w:r>
      <w:r w:rsidRPr="00E02607">
        <w:rPr>
          <w:lang w:val="pt-BR"/>
        </w:rPr>
        <w:t>, Paulo H</w:t>
      </w:r>
      <w:r>
        <w:rPr>
          <w:lang w:val="pt-BR"/>
        </w:rPr>
        <w:t>.</w:t>
      </w:r>
      <w:r w:rsidRPr="00E02607">
        <w:rPr>
          <w:lang w:val="pt-BR"/>
        </w:rPr>
        <w:t xml:space="preserve"> M</w:t>
      </w:r>
      <w:r>
        <w:rPr>
          <w:lang w:val="pt-BR"/>
        </w:rPr>
        <w:t>. Sousa</w:t>
      </w:r>
      <w:r w:rsidRPr="00E02607">
        <w:rPr>
          <w:vertAlign w:val="superscript"/>
          <w:lang w:val="pt-BR"/>
        </w:rPr>
        <w:t>b</w:t>
      </w:r>
    </w:p>
    <w:p w14:paraId="6415F371" w14:textId="77777777" w:rsidR="008E1FC5" w:rsidRPr="00D657A8" w:rsidRDefault="008E1FC5" w:rsidP="008E1FC5">
      <w:pPr>
        <w:shd w:val="clear" w:color="auto" w:fill="FFFFFF"/>
        <w:spacing w:line="240" w:lineRule="auto"/>
        <w:rPr>
          <w:sz w:val="16"/>
          <w:szCs w:val="16"/>
          <w:lang w:val="pt-BR"/>
        </w:rPr>
      </w:pPr>
      <w:r w:rsidRPr="00D657A8">
        <w:rPr>
          <w:sz w:val="16"/>
          <w:szCs w:val="16"/>
          <w:vertAlign w:val="superscript"/>
          <w:lang w:val="pt-BR"/>
        </w:rPr>
        <w:t>a</w:t>
      </w:r>
      <w:r w:rsidRPr="00D657A8">
        <w:rPr>
          <w:sz w:val="16"/>
          <w:szCs w:val="16"/>
          <w:lang w:val="pt-BR"/>
        </w:rPr>
        <w:t xml:space="preserve"> Embrapa Agroindústria Tropical, Dra Sara Mesquita Street, 2270, 60511-110, Fortaleza, CE, Brazil.</w:t>
      </w:r>
    </w:p>
    <w:p w14:paraId="39291DC1" w14:textId="77777777" w:rsidR="008E1FC5" w:rsidRPr="00151443" w:rsidRDefault="008E1FC5" w:rsidP="008E1FC5">
      <w:pPr>
        <w:shd w:val="clear" w:color="auto" w:fill="FFFFFF"/>
        <w:spacing w:line="240" w:lineRule="auto"/>
        <w:rPr>
          <w:sz w:val="16"/>
          <w:szCs w:val="16"/>
          <w:lang w:val="en-US"/>
        </w:rPr>
      </w:pPr>
      <w:r w:rsidRPr="00151443">
        <w:rPr>
          <w:sz w:val="16"/>
          <w:szCs w:val="16"/>
          <w:vertAlign w:val="superscript"/>
          <w:lang w:val="en-US"/>
        </w:rPr>
        <w:t>b</w:t>
      </w:r>
      <w:r w:rsidRPr="00151443">
        <w:rPr>
          <w:sz w:val="16"/>
          <w:szCs w:val="16"/>
          <w:lang w:val="en-US"/>
        </w:rPr>
        <w:t xml:space="preserve"> Department of Food Technology, Federal University of Ceará, 60356-000, Fortaleza, CE, Brazil.</w:t>
      </w:r>
    </w:p>
    <w:p w14:paraId="73F1267A" w14:textId="1E30A714" w:rsidR="00B57E6F" w:rsidRDefault="008E1FC5" w:rsidP="008E1FC5">
      <w:pPr>
        <w:pStyle w:val="CETBodytext"/>
        <w:rPr>
          <w:sz w:val="16"/>
          <w:szCs w:val="16"/>
        </w:rPr>
      </w:pPr>
      <w:r w:rsidRPr="00F82264">
        <w:rPr>
          <w:sz w:val="16"/>
          <w:szCs w:val="16"/>
        </w:rPr>
        <w:t>*</w:t>
      </w:r>
      <w:r w:rsidRPr="00D657A8">
        <w:rPr>
          <w:sz w:val="16"/>
          <w:szCs w:val="16"/>
        </w:rPr>
        <w:t xml:space="preserve"> </w:t>
      </w:r>
      <w:hyperlink r:id="rId10" w:history="1">
        <w:r w:rsidRPr="00D657A8">
          <w:rPr>
            <w:sz w:val="16"/>
            <w:szCs w:val="16"/>
          </w:rPr>
          <w:t>nedio.jair@embrapa.br</w:t>
        </w:r>
      </w:hyperlink>
    </w:p>
    <w:p w14:paraId="4B866E60" w14:textId="77777777" w:rsidR="008E1FC5" w:rsidRPr="008E1FC5" w:rsidRDefault="008E1FC5" w:rsidP="008E1FC5">
      <w:pPr>
        <w:pStyle w:val="CETBodytext"/>
        <w:rPr>
          <w:sz w:val="16"/>
          <w:szCs w:val="16"/>
        </w:rPr>
      </w:pPr>
    </w:p>
    <w:p w14:paraId="3666BB6A" w14:textId="7F4536FB" w:rsidR="008E1FC5" w:rsidRPr="008E1FC5" w:rsidRDefault="008E1FC5" w:rsidP="00600535">
      <w:pPr>
        <w:pStyle w:val="CETBodytext"/>
        <w:rPr>
          <w:color w:val="000000" w:themeColor="text1"/>
        </w:rPr>
      </w:pPr>
      <w:r w:rsidRPr="00D657A8">
        <w:rPr>
          <w:color w:val="000000" w:themeColor="text1"/>
        </w:rPr>
        <w:t>The high acid content in tamarind pulp can inhibit consumer sensory acceptance of its products and cause problems during lyophilization, resulting in a powder with high hygroscopicity, and which is prone to caking due to its hydrophilic nature. Tamarind pulp, in turn, has great nutritional potential, and stands out in relation to other pulps because of its functional attributes that are under investigation due to its low glycemic index. This study sought to characterize tamarind pulp and the effects of acidity reduction on hygroscopic behavior. Tamarind pulp powder was evaluated by analyzing moisture content, hygroscopicity, degree of caking, and adsorption isotherms, by fitting experimental data to the GAB, BET, Henderson, and Oswin mathematical models. The results demonstrated that all tamarind powder treatments resulted in low moisture content and hygroscopicity values, but a high degree of caking. The GAB model represented the best fit to the adsorption isotherms, with coefficients of determination (R</w:t>
      </w:r>
      <w:r w:rsidRPr="002F20CA">
        <w:rPr>
          <w:color w:val="000000" w:themeColor="text1"/>
          <w:vertAlign w:val="superscript"/>
        </w:rPr>
        <w:t>2</w:t>
      </w:r>
      <w:r w:rsidRPr="00D657A8">
        <w:rPr>
          <w:color w:val="000000" w:themeColor="text1"/>
        </w:rPr>
        <w:t>) between 0.97 and 0.99 and average errors (E) &lt; 5.67</w:t>
      </w:r>
      <w:r>
        <w:rPr>
          <w:color w:val="000000" w:themeColor="text1"/>
        </w:rPr>
        <w:t xml:space="preserve"> </w:t>
      </w:r>
      <w:r w:rsidRPr="00D657A8">
        <w:rPr>
          <w:color w:val="000000" w:themeColor="text1"/>
        </w:rPr>
        <w:t>%, presenting a type III behavior, characteristic of foods rich in sugar, and it is recommended to store this product in environments with a relative humidity below 60</w:t>
      </w:r>
      <w:r>
        <w:rPr>
          <w:color w:val="000000" w:themeColor="text1"/>
        </w:rPr>
        <w:t xml:space="preserve"> </w:t>
      </w:r>
      <w:r w:rsidRPr="00D657A8">
        <w:rPr>
          <w:color w:val="000000" w:themeColor="text1"/>
        </w:rPr>
        <w:t>%.</w:t>
      </w:r>
    </w:p>
    <w:p w14:paraId="476B2F2E" w14:textId="77777777" w:rsidR="00600535" w:rsidRPr="00B57B36" w:rsidRDefault="00600535" w:rsidP="00600535">
      <w:pPr>
        <w:pStyle w:val="CETHeading1"/>
        <w:rPr>
          <w:lang w:val="en-GB"/>
        </w:rPr>
      </w:pPr>
      <w:r w:rsidRPr="00B57B36">
        <w:rPr>
          <w:lang w:val="en-GB"/>
        </w:rPr>
        <w:t>Introduction</w:t>
      </w:r>
    </w:p>
    <w:p w14:paraId="1FF2C6FD" w14:textId="77777777" w:rsidR="001B58AB" w:rsidRPr="001B58AB" w:rsidRDefault="001B58AB" w:rsidP="001B58AB">
      <w:pPr>
        <w:pStyle w:val="CETBodytext"/>
        <w:rPr>
          <w:lang w:val="en-GB"/>
        </w:rPr>
      </w:pPr>
      <w:r w:rsidRPr="001B58AB">
        <w:rPr>
          <w:lang w:val="en-GB"/>
        </w:rPr>
        <w:t>The most expressive sensory characteristics of tamarind pulp include acidity and bittersweet flavors, dark brown color, and fibrous texture (Souza, 2015). The high acidity of tamarind juice has been identified as a limiting factor for consumption. According to Maia (2018), in a sensory analysis of tamarind juice, there was an increase in the acceptance of the juice after acidity reduction (pH 3.5) compared to a control (pH 2.5). In its nutritional composition, the tamarind pulp contains fiber, phenolic compounds, and organic acids that confer beneficial health properties, such as antioxidant, anti-inflammatory, and antibacterial activities (Kuru, 2014). In addition, Passos (2017) evaluated tamarind consumption and its effects related with decrease of glycemic index in diabetic patients.</w:t>
      </w:r>
    </w:p>
    <w:p w14:paraId="3FC8A10A" w14:textId="77777777" w:rsidR="001B58AB" w:rsidRPr="001B58AB" w:rsidRDefault="001B58AB" w:rsidP="001B58AB">
      <w:pPr>
        <w:pStyle w:val="CETBodytext"/>
        <w:rPr>
          <w:lang w:val="en-GB"/>
        </w:rPr>
      </w:pPr>
      <w:r w:rsidRPr="001B58AB">
        <w:rPr>
          <w:lang w:val="en-GB"/>
        </w:rPr>
        <w:t>The high acidity and viscosity of tamarind pulp can cause hygroscopic problems during the lyophilization process to obtain pulp powder. According to Bhusari et al., (2014), some of these problems are due to low molecular weight acids and sugars in the pulp. Thus, to minimize the effects related to the high acid content as a limiting factor for good drying and for sensory acceptance, it is necessary to investigate the effects of acidity reduction in the lyophilization process of tamarind pulp, and the hygroscopic behavior of tamarind pulp powder.</w:t>
      </w:r>
    </w:p>
    <w:p w14:paraId="0ED6E144" w14:textId="77777777" w:rsidR="001B58AB" w:rsidRPr="001B58AB" w:rsidRDefault="001B58AB" w:rsidP="001B58AB">
      <w:pPr>
        <w:pStyle w:val="CETBodytext"/>
        <w:rPr>
          <w:lang w:val="en-GB"/>
        </w:rPr>
      </w:pPr>
      <w:r w:rsidRPr="001B58AB">
        <w:rPr>
          <w:lang w:val="en-GB"/>
        </w:rPr>
        <w:t>The addition of an anticaking agent after lyophilization was also evaluated because of the satisfactory results found in reducing tamarind pulp powder caking in a study by Passos (2017), using calcium carbonate as an anticaking agent in the tamarind powder obtained by lyophilization. In this study, use of calcium carbonate concentrations of 2.5 %, 5.0 %, and 7.5 % improved the fluidity of the powder and reducing caking. Therefore, the lowest concentration (2.5 %) was recommended in order to avoid possible changes in the composition and functional effects of the powder.</w:t>
      </w:r>
    </w:p>
    <w:p w14:paraId="648C9F01" w14:textId="77777777" w:rsidR="001B58AB" w:rsidRPr="001B58AB" w:rsidRDefault="001B58AB" w:rsidP="001B58AB">
      <w:pPr>
        <w:pStyle w:val="CETBodytext"/>
        <w:rPr>
          <w:lang w:val="en-GB"/>
        </w:rPr>
      </w:pPr>
      <w:r w:rsidRPr="001B58AB">
        <w:rPr>
          <w:lang w:val="en-GB"/>
        </w:rPr>
        <w:t>In powder product studies, it is essential to know their hygroscopic behavior; therefore, moisture adsorption isotherms are used to understand and predict product stability (Cano-Higuita et al., 2015).</w:t>
      </w:r>
    </w:p>
    <w:p w14:paraId="64A1E133" w14:textId="57AA88FE" w:rsidR="007931FA" w:rsidRPr="001B58AB" w:rsidRDefault="001B58AB" w:rsidP="001B58AB">
      <w:pPr>
        <w:pStyle w:val="CETBodytext"/>
        <w:rPr>
          <w:lang w:val="en-GB"/>
        </w:rPr>
      </w:pPr>
      <w:r w:rsidRPr="001B58AB">
        <w:rPr>
          <w:lang w:val="en-GB"/>
        </w:rPr>
        <w:lastRenderedPageBreak/>
        <w:t>Given the above considerations, this study aimed to evaluate the effects of acidity reduction, and the use of anticaking agents on the hygroscopic behavior of tamarind pulp powder obtained by freeze-drying, through determination of adsorption isotherms and physicochemical characterization.</w:t>
      </w:r>
    </w:p>
    <w:p w14:paraId="5741900F" w14:textId="05CFD125" w:rsidR="00453E24" w:rsidRDefault="001B58AB" w:rsidP="00453E24">
      <w:pPr>
        <w:pStyle w:val="CETHeading1"/>
      </w:pPr>
      <w:r>
        <w:t>Material and methods</w:t>
      </w:r>
    </w:p>
    <w:p w14:paraId="0636B784" w14:textId="5F6B8E69" w:rsidR="00453E24" w:rsidRDefault="001B58AB" w:rsidP="00E3794D">
      <w:pPr>
        <w:pStyle w:val="CETheadingx"/>
      </w:pPr>
      <w:r>
        <w:t>Materials</w:t>
      </w:r>
    </w:p>
    <w:p w14:paraId="7C2B0064" w14:textId="0803BE58" w:rsidR="00453E24" w:rsidRDefault="001B58AB" w:rsidP="00453E24">
      <w:pPr>
        <w:pStyle w:val="CETBodytext"/>
      </w:pPr>
      <w:r w:rsidRPr="001B58AB">
        <w:t>Tamarind fruits (Tamarindus indica L.) were obtained from a production area of Tabuleiro de Russas - Ceará and processed at the Embrapa Tropical Agroindustry facility. Dehusked fruits (pulp + seed) were hydrated with potable water, 1: 1 (m: v) and left to stand for 4 h with occasional stirring. The pulp was then separated from the seeds in a Bonina 0.25 DF (Bonina, Itabuna, Brazil) machine equipped with a 2.5 mm sieve. The total solids content of the pulp obtained were adjusted to 20 % with the addition of water</w:t>
      </w:r>
      <w:r w:rsidR="00453E24">
        <w:t>.</w:t>
      </w:r>
    </w:p>
    <w:p w14:paraId="18BAFA6F" w14:textId="755A9B78" w:rsidR="00453E24" w:rsidRPr="00B57B36" w:rsidRDefault="00453E24" w:rsidP="00E3794D">
      <w:pPr>
        <w:pStyle w:val="CETheadingx"/>
      </w:pPr>
      <w:r w:rsidRPr="00B57B36">
        <w:t>Me</w:t>
      </w:r>
      <w:r w:rsidR="001B58AB">
        <w:t>thods</w:t>
      </w:r>
    </w:p>
    <w:p w14:paraId="5436D977" w14:textId="2B6142ED" w:rsidR="00453E24" w:rsidRDefault="001B58AB" w:rsidP="00453E24">
      <w:pPr>
        <w:pStyle w:val="CETBodytext"/>
        <w:rPr>
          <w:lang w:val="en-GB"/>
        </w:rPr>
      </w:pPr>
      <w:r w:rsidRPr="001B58AB">
        <w:rPr>
          <w:lang w:val="en-GB"/>
        </w:rPr>
        <w:t>Two tamarind pulp treatments were prepared: control “C” (pH 2.5), and pulp with acidity partially neutralized “N” (up to pH 3.5), which was adjusted using a 15 % potassium hydroxide solution. Treatments were frozen at -18 °C, and lyophilization was carried out in a Liobrás freeze-dryer (model Liotop LP 510, Piracicaba, Brazil), at a pressure &lt; 3000 μm Hg, with a temperature program starting at -20ºC and programmed to reach up to 30 ºC in 50 h. The freeze-dried tamarind was ground into powder using a multiprocessor (Robot Coupe, model R502, Ridgeland, MS, USA), and for treatments with an anticaking agent, 2.5 % CaCO3 was added. The treatments were packed in barrier multilayer nylon-aluminum-polyethylene sachets and stored at room temperature (~27 °C) until use in analyses</w:t>
      </w:r>
    </w:p>
    <w:p w14:paraId="5CE98F07" w14:textId="77777777" w:rsidR="001B58AB" w:rsidRPr="001B58AB" w:rsidRDefault="001B58AB" w:rsidP="00E3794D">
      <w:pPr>
        <w:pStyle w:val="CETheadingx"/>
        <w:rPr>
          <w:bCs/>
        </w:rPr>
      </w:pPr>
      <w:r w:rsidRPr="001B58AB">
        <w:t xml:space="preserve">Physicochemical characterization </w:t>
      </w:r>
    </w:p>
    <w:p w14:paraId="144ABFDD" w14:textId="77777777" w:rsidR="001B58AB" w:rsidRPr="00E3794D" w:rsidRDefault="001B58AB" w:rsidP="00E3794D">
      <w:pPr>
        <w:pStyle w:val="CETheadingx"/>
        <w:numPr>
          <w:ilvl w:val="0"/>
          <w:numId w:val="0"/>
        </w:numPr>
        <w:rPr>
          <w:b w:val="0"/>
        </w:rPr>
      </w:pPr>
      <w:r w:rsidRPr="00E3794D">
        <w:rPr>
          <w:b w:val="0"/>
        </w:rPr>
        <w:t>Tamarind pulp powder from all treatments was carried out in triplicate using the following analyses: water activity (a</w:t>
      </w:r>
      <w:r w:rsidRPr="00E3794D">
        <w:rPr>
          <w:b w:val="0"/>
          <w:vertAlign w:val="subscript"/>
        </w:rPr>
        <w:t>w</w:t>
      </w:r>
      <w:r w:rsidRPr="00E3794D">
        <w:rPr>
          <w:b w:val="0"/>
        </w:rPr>
        <w:t>) measured at 25 °C using a digital hygrometer (Aqualab® 4TE, Decagon, Pullman, WA, USA), and moisture content defined by infrared using a digital humidity scale (ID50, Marte, São Paulo, Brasil).</w:t>
      </w:r>
    </w:p>
    <w:p w14:paraId="12AF48B2" w14:textId="77777777" w:rsidR="001B58AB" w:rsidRPr="00DD2E69" w:rsidRDefault="001B58AB" w:rsidP="00E3794D">
      <w:pPr>
        <w:pStyle w:val="CETheadingx"/>
        <w:rPr>
          <w:bCs/>
        </w:rPr>
      </w:pPr>
      <w:r w:rsidRPr="00DD2E69">
        <w:t>Color</w:t>
      </w:r>
    </w:p>
    <w:p w14:paraId="69848C1C" w14:textId="77777777" w:rsidR="001B58AB" w:rsidRPr="00E3794D" w:rsidRDefault="001B58AB" w:rsidP="00E3794D">
      <w:pPr>
        <w:pStyle w:val="CETheadingx"/>
        <w:numPr>
          <w:ilvl w:val="0"/>
          <w:numId w:val="0"/>
        </w:numPr>
        <w:rPr>
          <w:b w:val="0"/>
        </w:rPr>
      </w:pPr>
      <w:r w:rsidRPr="00E3794D">
        <w:rPr>
          <w:b w:val="0"/>
        </w:rPr>
        <w:t>Parameters L* (luminosity), a* (green intensity), and b* (intensity of yellow) were performed using a colorimeter (CR-410, Konica Minolta, Japan).</w:t>
      </w:r>
    </w:p>
    <w:p w14:paraId="1CFFF7E6" w14:textId="77777777" w:rsidR="001B58AB" w:rsidRPr="00E3794D" w:rsidRDefault="001B58AB" w:rsidP="00E3794D">
      <w:pPr>
        <w:pStyle w:val="CETheadingx"/>
        <w:rPr>
          <w:bCs/>
        </w:rPr>
      </w:pPr>
      <w:r w:rsidRPr="00E3794D">
        <w:t>Hygroscopic characterization</w:t>
      </w:r>
    </w:p>
    <w:p w14:paraId="22D5F159" w14:textId="77777777" w:rsidR="001B58AB" w:rsidRPr="00E3794D" w:rsidRDefault="001B58AB" w:rsidP="00E3794D">
      <w:pPr>
        <w:pStyle w:val="CETheadingx"/>
        <w:numPr>
          <w:ilvl w:val="0"/>
          <w:numId w:val="0"/>
        </w:numPr>
        <w:spacing w:before="0" w:after="0"/>
        <w:rPr>
          <w:b w:val="0"/>
        </w:rPr>
      </w:pPr>
      <w:r w:rsidRPr="00E3794D">
        <w:rPr>
          <w:b w:val="0"/>
        </w:rPr>
        <w:t>The hygroscopic characterization of tamarind pulp powder before and after acidity reduction, and after addition of an anticaking agent, was performed according to the method given by Goula and Adamopoulos (2008). Hygroscopicity was expressed in g of water adsorbed per 100 g of dry solids.</w:t>
      </w:r>
    </w:p>
    <w:p w14:paraId="04989F0E" w14:textId="77777777" w:rsidR="001B58AB" w:rsidRPr="00E3794D" w:rsidRDefault="001B58AB" w:rsidP="00E3794D">
      <w:pPr>
        <w:pStyle w:val="CETheadingx"/>
        <w:numPr>
          <w:ilvl w:val="0"/>
          <w:numId w:val="0"/>
        </w:numPr>
        <w:spacing w:before="0" w:after="0"/>
        <w:rPr>
          <w:b w:val="0"/>
        </w:rPr>
      </w:pPr>
      <w:r w:rsidRPr="00E3794D">
        <w:rPr>
          <w:b w:val="0"/>
        </w:rPr>
        <w:t xml:space="preserve">The degree of caking was also determined by a method described in Goula and Adamopoulos (2008). </w:t>
      </w:r>
    </w:p>
    <w:p w14:paraId="6E1A86A5" w14:textId="77777777" w:rsidR="001B58AB" w:rsidRPr="00E3794D" w:rsidRDefault="001B58AB" w:rsidP="00E3794D">
      <w:pPr>
        <w:pStyle w:val="CETheadingx"/>
        <w:numPr>
          <w:ilvl w:val="0"/>
          <w:numId w:val="0"/>
        </w:numPr>
        <w:spacing w:before="0" w:after="0"/>
        <w:rPr>
          <w:b w:val="0"/>
        </w:rPr>
      </w:pPr>
      <w:r w:rsidRPr="00E3794D">
        <w:rPr>
          <w:b w:val="0"/>
        </w:rPr>
        <w:t xml:space="preserve">Solubility was also verified with hygroscopicity and solubility expressed as percentages. </w:t>
      </w:r>
    </w:p>
    <w:p w14:paraId="0E615C07" w14:textId="6F02519C" w:rsidR="001B58AB" w:rsidRPr="00E3794D" w:rsidRDefault="001B58AB" w:rsidP="00E3794D">
      <w:pPr>
        <w:pStyle w:val="CETheadingx"/>
        <w:numPr>
          <w:ilvl w:val="0"/>
          <w:numId w:val="0"/>
        </w:numPr>
        <w:spacing w:before="0" w:after="0"/>
        <w:rPr>
          <w:b w:val="0"/>
        </w:rPr>
      </w:pPr>
      <w:r w:rsidRPr="00E3794D">
        <w:rPr>
          <w:b w:val="0"/>
        </w:rPr>
        <w:t xml:space="preserve">The results of hygroscopicity measurements and degree of caking were compared with the values presented by </w:t>
      </w:r>
      <w:r w:rsidRPr="00E3794D">
        <w:rPr>
          <w:rFonts w:cs="Arial"/>
          <w:b w:val="0"/>
          <w:color w:val="000000"/>
          <w:lang w:eastAsia="pt-BR"/>
        </w:rPr>
        <w:t>Pisecky, Westergaard and Refstrup</w:t>
      </w:r>
      <w:r w:rsidRPr="00E3794D">
        <w:rPr>
          <w:b w:val="0"/>
        </w:rPr>
        <w:t xml:space="preserve"> (2012). The analyses were performed in 3 repetitions, in a randomized block design, with analysis of variance and Tukey's test among means (p &lt;0.05).</w:t>
      </w:r>
    </w:p>
    <w:p w14:paraId="48142127" w14:textId="4701B5F9" w:rsidR="001B58AB" w:rsidRPr="000C6C45" w:rsidRDefault="001B58AB" w:rsidP="000C6C45">
      <w:pPr>
        <w:pStyle w:val="CETheadingx"/>
        <w:numPr>
          <w:ilvl w:val="0"/>
          <w:numId w:val="0"/>
        </w:numPr>
        <w:spacing w:before="0" w:after="0"/>
        <w:rPr>
          <w:b w:val="0"/>
        </w:rPr>
      </w:pPr>
      <w:r w:rsidRPr="00E462AB">
        <w:rPr>
          <w:b w:val="0"/>
        </w:rPr>
        <w:t>The flow index (ffc) and bulk density of the tamarind pulp powder were determined using the powder flow tester (PFT; Brookfield, Middleboro, Massachusetts, USA). The type of flow index, proposed by Jenike (1964), was used: no flow (ffc&lt;1), very cohesive (1&lt;ffc&lt;2), cohesive (2&lt;ffc&lt;4), easy flow (4&lt;ffc&lt;10), and free flow (ffc&gt;10).</w:t>
      </w:r>
    </w:p>
    <w:p w14:paraId="4748C03E" w14:textId="77777777" w:rsidR="001B58AB" w:rsidRPr="000C6C45" w:rsidRDefault="001B58AB" w:rsidP="00E3794D">
      <w:pPr>
        <w:pStyle w:val="CETheadingx"/>
      </w:pPr>
      <w:r w:rsidRPr="00DD2E69">
        <w:t>Sorption isotherms</w:t>
      </w:r>
    </w:p>
    <w:p w14:paraId="11322600" w14:textId="77777777" w:rsidR="00E3794D" w:rsidRDefault="001B58AB" w:rsidP="00E3794D">
      <w:pPr>
        <w:pStyle w:val="CETheadingx"/>
        <w:numPr>
          <w:ilvl w:val="0"/>
          <w:numId w:val="0"/>
        </w:numPr>
        <w:spacing w:before="0" w:after="0"/>
        <w:rPr>
          <w:b w:val="0"/>
        </w:rPr>
      </w:pPr>
      <w:r w:rsidRPr="00E3794D">
        <w:rPr>
          <w:b w:val="0"/>
        </w:rPr>
        <w:t>Adsorption isotherms were performed with the use of a static gravimetric method. Tamarind powder samples (0.2 g) in triplicate were placed in an environment with relative humidity equilibrated by different saturated saline solutions, such as potassium acetate (a</w:t>
      </w:r>
      <w:r w:rsidRPr="00E3794D">
        <w:rPr>
          <w:b w:val="0"/>
          <w:vertAlign w:val="subscript"/>
        </w:rPr>
        <w:t>w</w:t>
      </w:r>
      <w:r w:rsidRPr="00E3794D">
        <w:rPr>
          <w:b w:val="0"/>
        </w:rPr>
        <w:t xml:space="preserve"> = 0.21), potassium carbonate (a</w:t>
      </w:r>
      <w:r w:rsidRPr="00E3794D">
        <w:rPr>
          <w:b w:val="0"/>
          <w:vertAlign w:val="subscript"/>
        </w:rPr>
        <w:t>w</w:t>
      </w:r>
      <w:r w:rsidRPr="00E3794D">
        <w:rPr>
          <w:b w:val="0"/>
        </w:rPr>
        <w:t xml:space="preserve"> = 0.44), sodium bromide (a</w:t>
      </w:r>
      <w:r w:rsidRPr="00E3794D">
        <w:rPr>
          <w:b w:val="0"/>
          <w:vertAlign w:val="subscript"/>
        </w:rPr>
        <w:t>w</w:t>
      </w:r>
      <w:r w:rsidRPr="00E3794D">
        <w:rPr>
          <w:b w:val="0"/>
        </w:rPr>
        <w:t xml:space="preserve"> = 0.58), tin (II) chloride (a</w:t>
      </w:r>
      <w:r w:rsidRPr="00E3794D">
        <w:rPr>
          <w:b w:val="0"/>
          <w:vertAlign w:val="subscript"/>
        </w:rPr>
        <w:t>w</w:t>
      </w:r>
      <w:r w:rsidRPr="00E3794D">
        <w:rPr>
          <w:b w:val="0"/>
        </w:rPr>
        <w:t xml:space="preserve"> = 0.76), potassium chloride (a</w:t>
      </w:r>
      <w:r w:rsidRPr="00E3794D">
        <w:rPr>
          <w:b w:val="0"/>
          <w:vertAlign w:val="subscript"/>
        </w:rPr>
        <w:t>w</w:t>
      </w:r>
      <w:r w:rsidRPr="00E3794D">
        <w:rPr>
          <w:b w:val="0"/>
        </w:rPr>
        <w:t xml:space="preserve"> = 0.84) and barium chloride (a</w:t>
      </w:r>
      <w:r w:rsidRPr="00E3794D">
        <w:rPr>
          <w:b w:val="0"/>
          <w:vertAlign w:val="subscript"/>
        </w:rPr>
        <w:t>w</w:t>
      </w:r>
      <w:r w:rsidRPr="00E3794D">
        <w:rPr>
          <w:b w:val="0"/>
        </w:rPr>
        <w:t xml:space="preserve"> = 0.90), prepared according to Greenspan (1977).</w:t>
      </w:r>
    </w:p>
    <w:p w14:paraId="758D17E5" w14:textId="77777777" w:rsidR="00E3794D" w:rsidRDefault="00E3794D" w:rsidP="00E3794D">
      <w:pPr>
        <w:pStyle w:val="CETheadingx"/>
        <w:numPr>
          <w:ilvl w:val="0"/>
          <w:numId w:val="0"/>
        </w:numPr>
        <w:spacing w:before="0" w:after="0"/>
        <w:rPr>
          <w:b w:val="0"/>
          <w:szCs w:val="18"/>
        </w:rPr>
      </w:pPr>
      <w:r w:rsidRPr="00E3794D">
        <w:rPr>
          <w:b w:val="0"/>
          <w:szCs w:val="18"/>
        </w:rPr>
        <w:t>This process was accompanied by weighing the samples every 24 h for approximately 18 days until they reached constant weight and with variation lower than 0.1 % (0.001 g g</w:t>
      </w:r>
      <w:r w:rsidRPr="00E3794D">
        <w:rPr>
          <w:b w:val="0"/>
          <w:szCs w:val="18"/>
          <w:vertAlign w:val="superscript"/>
        </w:rPr>
        <w:t>-1</w:t>
      </w:r>
      <w:r w:rsidRPr="00E3794D">
        <w:rPr>
          <w:b w:val="0"/>
          <w:szCs w:val="18"/>
        </w:rPr>
        <w:t xml:space="preserve"> solid), thus determining the equilibrium mass. Subsequently, the water activity (a</w:t>
      </w:r>
      <w:r w:rsidRPr="00E3794D">
        <w:rPr>
          <w:b w:val="0"/>
          <w:szCs w:val="18"/>
          <w:vertAlign w:val="subscript"/>
        </w:rPr>
        <w:t>w</w:t>
      </w:r>
      <w:r w:rsidRPr="00E3794D">
        <w:rPr>
          <w:b w:val="0"/>
          <w:szCs w:val="18"/>
        </w:rPr>
        <w:t>) was measured using a digital hygrometer (Aqualab® 3TE, Decagon, Pullman, WA, USA) at 25 °C and 40 °C. The samples were weighed and fully dehydrated (105 ºC oven, 16 to 24 h) to determine the dry mass. The equilibrium moisture (Xe) was calculated as the difference between the sample mass at equilibrium and its initial dry mass. The data obtained were used to evaluate which mathematical model (GAB, BET, Henderson and Oswin</w:t>
      </w:r>
      <w:r w:rsidRPr="00E3794D">
        <w:rPr>
          <w:b w:val="0"/>
        </w:rPr>
        <w:t xml:space="preserve">, </w:t>
      </w:r>
      <w:r w:rsidRPr="00E3794D">
        <w:rPr>
          <w:b w:val="0"/>
          <w:szCs w:val="18"/>
        </w:rPr>
        <w:t>respectively shown in Equations 1-4) represents the adsorption isotherms.</w:t>
      </w:r>
    </w:p>
    <w:p w14:paraId="4BCE4C84" w14:textId="77777777" w:rsidR="00C52F3F" w:rsidRPr="00C52F3F" w:rsidRDefault="00C52F3F" w:rsidP="00C52F3F">
      <w:pPr>
        <w:pStyle w:val="CETBodytext"/>
      </w:pPr>
    </w:p>
    <w:tbl>
      <w:tblPr>
        <w:tblW w:w="5000" w:type="pct"/>
        <w:tblLook w:val="04A0" w:firstRow="1" w:lastRow="0" w:firstColumn="1" w:lastColumn="0" w:noHBand="0" w:noVBand="1"/>
      </w:tblPr>
      <w:tblGrid>
        <w:gridCol w:w="6804"/>
        <w:gridCol w:w="1983"/>
      </w:tblGrid>
      <w:tr w:rsidR="00E3794D" w:rsidRPr="00B57B36" w14:paraId="29DC4B1B" w14:textId="77777777" w:rsidTr="004500DF">
        <w:tc>
          <w:tcPr>
            <w:tcW w:w="6804" w:type="dxa"/>
            <w:shd w:val="clear" w:color="auto" w:fill="auto"/>
            <w:vAlign w:val="center"/>
          </w:tcPr>
          <w:p w14:paraId="40DAA580" w14:textId="77777777" w:rsidR="00E3794D" w:rsidRPr="00A47033" w:rsidRDefault="00E3794D" w:rsidP="004500DF">
            <w:pPr>
              <w:pStyle w:val="CETEquation"/>
              <w:spacing w:before="0" w:after="0"/>
              <w:rPr>
                <w:rFonts w:cs="Arial"/>
              </w:rPr>
            </w:pPr>
            <w:r w:rsidRPr="00A47033">
              <w:rPr>
                <w:rFonts w:cs="Arial"/>
                <w:lang w:val="en-US"/>
              </w:rPr>
              <w:object w:dxaOrig="5204" w:dyaOrig="870" w14:anchorId="00DB99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28.5pt" o:ole="">
                  <v:imagedata r:id="rId11" o:title=""/>
                </v:shape>
                <o:OLEObject Type="Embed" ProgID="PBrush" ShapeID="_x0000_i1025" DrawAspect="Content" ObjectID="_1742967960" r:id="rId12"/>
              </w:object>
            </w:r>
          </w:p>
        </w:tc>
        <w:tc>
          <w:tcPr>
            <w:tcW w:w="1983" w:type="dxa"/>
            <w:shd w:val="clear" w:color="auto" w:fill="auto"/>
            <w:vAlign w:val="center"/>
          </w:tcPr>
          <w:p w14:paraId="1F0BFC57" w14:textId="77777777" w:rsidR="00E3794D" w:rsidRPr="00B57B36" w:rsidRDefault="00E3794D" w:rsidP="004500DF">
            <w:pPr>
              <w:pStyle w:val="CETEquation"/>
              <w:spacing w:before="0" w:after="0"/>
              <w:jc w:val="right"/>
            </w:pPr>
            <w:r>
              <w:t xml:space="preserve">GAB model </w:t>
            </w:r>
            <w:r w:rsidRPr="00B57B36">
              <w:t>(1)</w:t>
            </w:r>
          </w:p>
        </w:tc>
      </w:tr>
      <w:tr w:rsidR="00E3794D" w:rsidRPr="00B57B36" w14:paraId="51EE867D" w14:textId="77777777" w:rsidTr="004500DF">
        <w:tc>
          <w:tcPr>
            <w:tcW w:w="6804" w:type="dxa"/>
            <w:shd w:val="clear" w:color="auto" w:fill="auto"/>
            <w:vAlign w:val="center"/>
          </w:tcPr>
          <w:p w14:paraId="033A18D0" w14:textId="77777777" w:rsidR="00E3794D" w:rsidRPr="00A47033" w:rsidRDefault="00E3794D" w:rsidP="004500DF">
            <w:pPr>
              <w:pStyle w:val="CETEquation"/>
              <w:spacing w:before="0" w:after="0"/>
              <w:rPr>
                <w:noProof/>
                <w:lang w:val="pt-BR" w:eastAsia="pt-BR"/>
              </w:rPr>
            </w:pPr>
            <w:r w:rsidRPr="00775282">
              <w:rPr>
                <w:rFonts w:cs="Arial"/>
                <w:lang w:val="en-US"/>
              </w:rPr>
              <w:object w:dxaOrig="6195" w:dyaOrig="915" w14:anchorId="03A1CAF9">
                <v:shape id="_x0000_i1026" type="#_x0000_t75" style="width:230.25pt;height:36pt" o:ole="">
                  <v:imagedata r:id="rId13" o:title=""/>
                </v:shape>
                <o:OLEObject Type="Embed" ProgID="PBrush" ShapeID="_x0000_i1026" DrawAspect="Content" ObjectID="_1742967961" r:id="rId14"/>
              </w:object>
            </w:r>
          </w:p>
        </w:tc>
        <w:tc>
          <w:tcPr>
            <w:tcW w:w="1983" w:type="dxa"/>
            <w:shd w:val="clear" w:color="auto" w:fill="auto"/>
            <w:vAlign w:val="center"/>
          </w:tcPr>
          <w:p w14:paraId="66D69A68" w14:textId="77777777" w:rsidR="00E3794D" w:rsidRPr="00B57B36" w:rsidRDefault="00E3794D" w:rsidP="004500DF">
            <w:pPr>
              <w:pStyle w:val="CETEquation"/>
              <w:spacing w:before="0" w:after="0"/>
              <w:jc w:val="right"/>
            </w:pPr>
            <w:r>
              <w:t xml:space="preserve">BET model </w:t>
            </w:r>
            <w:r w:rsidRPr="00B57B36">
              <w:t>(</w:t>
            </w:r>
            <w:r>
              <w:t>2</w:t>
            </w:r>
            <w:r w:rsidRPr="00B57B36">
              <w:t>)</w:t>
            </w:r>
          </w:p>
        </w:tc>
      </w:tr>
      <w:tr w:rsidR="00E3794D" w:rsidRPr="00B57B36" w14:paraId="2B417BE7" w14:textId="77777777" w:rsidTr="004500DF">
        <w:tc>
          <w:tcPr>
            <w:tcW w:w="6804" w:type="dxa"/>
            <w:shd w:val="clear" w:color="auto" w:fill="auto"/>
            <w:vAlign w:val="center"/>
          </w:tcPr>
          <w:p w14:paraId="46AA39CF" w14:textId="77777777" w:rsidR="00E3794D" w:rsidRPr="00A47033" w:rsidRDefault="00E3794D" w:rsidP="004500DF">
            <w:pPr>
              <w:pStyle w:val="CETEquation"/>
              <w:spacing w:before="0" w:after="0"/>
              <w:rPr>
                <w:noProof/>
                <w:lang w:val="pt-BR" w:eastAsia="pt-BR"/>
              </w:rPr>
            </w:pPr>
            <w:r w:rsidRPr="007A7423">
              <w:rPr>
                <w:rFonts w:ascii="Times New Roman" w:hAnsi="Times New Roman"/>
                <w:lang w:val="en-US"/>
              </w:rPr>
              <w:object w:dxaOrig="3000" w:dyaOrig="1110" w14:anchorId="70F4743E">
                <v:shape id="_x0000_i1027" type="#_x0000_t75" style="width:100.5pt;height:36pt" o:ole="">
                  <v:imagedata r:id="rId15" o:title=""/>
                </v:shape>
                <o:OLEObject Type="Embed" ProgID="PBrush" ShapeID="_x0000_i1027" DrawAspect="Content" ObjectID="_1742967962" r:id="rId16"/>
              </w:object>
            </w:r>
          </w:p>
        </w:tc>
        <w:tc>
          <w:tcPr>
            <w:tcW w:w="1983" w:type="dxa"/>
            <w:shd w:val="clear" w:color="auto" w:fill="auto"/>
            <w:vAlign w:val="center"/>
          </w:tcPr>
          <w:p w14:paraId="0B789038" w14:textId="77777777" w:rsidR="00E3794D" w:rsidRPr="00B57B36" w:rsidRDefault="00E3794D" w:rsidP="004500DF">
            <w:pPr>
              <w:pStyle w:val="CETEquation"/>
              <w:spacing w:before="0" w:after="0"/>
              <w:jc w:val="right"/>
            </w:pPr>
            <w:r>
              <w:t xml:space="preserve">Henderson model </w:t>
            </w:r>
            <w:r w:rsidRPr="00B57B36">
              <w:t>(</w:t>
            </w:r>
            <w:r>
              <w:t>3</w:t>
            </w:r>
            <w:r w:rsidRPr="00B57B36">
              <w:t>)</w:t>
            </w:r>
          </w:p>
        </w:tc>
      </w:tr>
      <w:tr w:rsidR="00E3794D" w:rsidRPr="00B57B36" w14:paraId="258A490C" w14:textId="77777777" w:rsidTr="004500DF">
        <w:tc>
          <w:tcPr>
            <w:tcW w:w="6804" w:type="dxa"/>
            <w:shd w:val="clear" w:color="auto" w:fill="auto"/>
            <w:vAlign w:val="center"/>
          </w:tcPr>
          <w:p w14:paraId="0A3B124E" w14:textId="77777777" w:rsidR="00E3794D" w:rsidRPr="00A47033" w:rsidRDefault="00E3794D" w:rsidP="004500DF">
            <w:pPr>
              <w:pStyle w:val="CETEquation"/>
              <w:spacing w:before="0" w:after="0"/>
              <w:rPr>
                <w:noProof/>
                <w:lang w:val="pt-BR" w:eastAsia="pt-BR"/>
              </w:rPr>
            </w:pPr>
            <w:r w:rsidRPr="007A7423">
              <w:rPr>
                <w:rFonts w:ascii="Times New Roman" w:hAnsi="Times New Roman"/>
                <w:lang w:val="en-US"/>
              </w:rPr>
              <w:object w:dxaOrig="2505" w:dyaOrig="945" w14:anchorId="6D1C664A">
                <v:shape id="_x0000_i1028" type="#_x0000_t75" style="width:100.5pt;height:36pt" o:ole="">
                  <v:imagedata r:id="rId17" o:title=""/>
                </v:shape>
                <o:OLEObject Type="Embed" ProgID="PBrush" ShapeID="_x0000_i1028" DrawAspect="Content" ObjectID="_1742967963" r:id="rId18"/>
              </w:object>
            </w:r>
          </w:p>
        </w:tc>
        <w:tc>
          <w:tcPr>
            <w:tcW w:w="1983" w:type="dxa"/>
            <w:shd w:val="clear" w:color="auto" w:fill="auto"/>
            <w:vAlign w:val="center"/>
          </w:tcPr>
          <w:p w14:paraId="1739F575" w14:textId="77777777" w:rsidR="00E3794D" w:rsidRPr="00B57B36" w:rsidRDefault="00E3794D" w:rsidP="004500DF">
            <w:pPr>
              <w:pStyle w:val="CETEquation"/>
              <w:spacing w:before="0" w:after="0"/>
              <w:jc w:val="right"/>
            </w:pPr>
            <w:r>
              <w:t>Oswin model</w:t>
            </w:r>
            <w:r w:rsidRPr="00B57B36">
              <w:t>(</w:t>
            </w:r>
            <w:r>
              <w:t>4</w:t>
            </w:r>
            <w:r w:rsidRPr="00B57B36">
              <w:t>)</w:t>
            </w:r>
          </w:p>
        </w:tc>
      </w:tr>
    </w:tbl>
    <w:p w14:paraId="0D84E19F" w14:textId="08C7DE10" w:rsidR="001B58AB" w:rsidRPr="00E3794D" w:rsidRDefault="00E3794D" w:rsidP="00E3794D">
      <w:pPr>
        <w:pStyle w:val="CETheadingx"/>
        <w:numPr>
          <w:ilvl w:val="0"/>
          <w:numId w:val="0"/>
        </w:numPr>
        <w:spacing w:before="0" w:after="0"/>
        <w:rPr>
          <w:szCs w:val="18"/>
        </w:rPr>
      </w:pPr>
      <w:r w:rsidRPr="00E3794D">
        <w:rPr>
          <w:b w:val="0"/>
          <w:szCs w:val="18"/>
        </w:rPr>
        <w:t>The modeling was adjusted using Statistica 7.0 software (Statsoft Inc., Tulsa, OK), and model quality levels were assessed using the correlation coefficient (R</w:t>
      </w:r>
      <w:r w:rsidRPr="00E3794D">
        <w:rPr>
          <w:b w:val="0"/>
          <w:szCs w:val="18"/>
          <w:vertAlign w:val="superscript"/>
        </w:rPr>
        <w:t>2</w:t>
      </w:r>
      <w:r w:rsidRPr="00E3794D">
        <w:rPr>
          <w:b w:val="0"/>
          <w:szCs w:val="18"/>
        </w:rPr>
        <w:t>) and the relative average error (E).</w:t>
      </w:r>
    </w:p>
    <w:p w14:paraId="677EBFF0" w14:textId="638D8056" w:rsidR="00600535" w:rsidRPr="00B57B36" w:rsidRDefault="00E3794D" w:rsidP="00600535">
      <w:pPr>
        <w:pStyle w:val="CETHeading1"/>
        <w:tabs>
          <w:tab w:val="clear" w:pos="360"/>
          <w:tab w:val="right" w:pos="7100"/>
        </w:tabs>
        <w:jc w:val="both"/>
        <w:rPr>
          <w:lang w:val="en-GB"/>
        </w:rPr>
      </w:pPr>
      <w:r>
        <w:rPr>
          <w:lang w:val="en-GB"/>
        </w:rPr>
        <w:t>Results and discussion</w:t>
      </w:r>
    </w:p>
    <w:p w14:paraId="3E28F962" w14:textId="77777777" w:rsidR="00E3794D" w:rsidRPr="00E3794D" w:rsidRDefault="00E3794D" w:rsidP="00E3794D">
      <w:pPr>
        <w:pStyle w:val="CETBodytext"/>
        <w:rPr>
          <w:lang w:val="en-GB"/>
        </w:rPr>
      </w:pPr>
      <w:r w:rsidRPr="00E3794D">
        <w:rPr>
          <w:lang w:val="en-GB"/>
        </w:rPr>
        <w:t>The results of tamarind powder characterization are shown in Table 1, which presents the moisture content, water activity, color, flow index, and density of the tamarind pulp powder determined after freeze-drying.</w:t>
      </w:r>
    </w:p>
    <w:p w14:paraId="60D696D0" w14:textId="64CDFA56" w:rsidR="00E3794D" w:rsidRDefault="00E3794D" w:rsidP="00E3794D">
      <w:pPr>
        <w:pStyle w:val="CETBodytext"/>
        <w:rPr>
          <w:lang w:val="en-GB"/>
        </w:rPr>
      </w:pPr>
      <w:r w:rsidRPr="00E3794D">
        <w:rPr>
          <w:lang w:val="en-GB"/>
        </w:rPr>
        <w:t>Moisture content and water activity in all treatments were similar, with values &lt; 3 % for moisture and up to 0.2 for aw. Compared with the results obtained by Bhusari et al., (2014), for spray-dried tamarind powder, the moisture levels ranging from 3.65 to 7.11 %. In addition, Muzaffar and Kumar (2016) obtained 2.62 % moisture value, similar to those found in the present study (2.63 % and 2.80 %</w:t>
      </w:r>
      <w:r>
        <w:rPr>
          <w:lang w:val="en-GB"/>
        </w:rPr>
        <w:t>).</w:t>
      </w:r>
    </w:p>
    <w:p w14:paraId="18646993" w14:textId="77777777" w:rsidR="00E3794D" w:rsidRPr="00506388" w:rsidRDefault="00E3794D" w:rsidP="00E3794D">
      <w:pPr>
        <w:pStyle w:val="CETTabletitle"/>
      </w:pPr>
      <w:r w:rsidRPr="00B57B36">
        <w:t xml:space="preserve">Table 1: </w:t>
      </w:r>
      <w:r w:rsidRPr="0098185C">
        <w:rPr>
          <w:color w:val="000000" w:themeColor="text1"/>
          <w:lang w:val="en-US"/>
        </w:rPr>
        <w:t xml:space="preserve">Physicochemical and flowability parameters of tamarind pulp powder (dry basis) obtained after </w:t>
      </w:r>
      <w:r>
        <w:rPr>
          <w:color w:val="000000" w:themeColor="text1"/>
          <w:lang w:val="en-US"/>
        </w:rPr>
        <w:t>freeze-drying</w:t>
      </w:r>
      <w:r w:rsidRPr="0098185C">
        <w:rPr>
          <w:color w:val="000000" w:themeColor="text1"/>
          <w:lang w:val="en-US"/>
        </w:rPr>
        <w:t xml:space="preserve"> and with or without the addition of calcium carbonate (CaCO</w:t>
      </w:r>
      <w:r w:rsidRPr="00784CBA">
        <w:rPr>
          <w:color w:val="000000" w:themeColor="text1"/>
          <w:vertAlign w:val="subscript"/>
          <w:lang w:val="en-US"/>
        </w:rPr>
        <w:t>3</w:t>
      </w:r>
      <w:r w:rsidRPr="0098185C">
        <w:rPr>
          <w:color w:val="000000" w:themeColor="text1"/>
          <w:lang w:val="en-US"/>
        </w:rPr>
        <w:t>) as an anticaking agent.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800"/>
        <w:gridCol w:w="1890"/>
        <w:gridCol w:w="1530"/>
        <w:gridCol w:w="1620"/>
        <w:gridCol w:w="1440"/>
      </w:tblGrid>
      <w:tr w:rsidR="00E3794D" w14:paraId="0BBD50EB" w14:textId="77777777" w:rsidTr="004500DF">
        <w:tc>
          <w:tcPr>
            <w:tcW w:w="1800" w:type="dxa"/>
            <w:vMerge w:val="restart"/>
            <w:tcBorders>
              <w:top w:val="single" w:sz="12" w:space="0" w:color="008000"/>
              <w:left w:val="nil"/>
              <w:right w:val="nil"/>
            </w:tcBorders>
            <w:shd w:val="clear" w:color="auto" w:fill="FFFFFF"/>
          </w:tcPr>
          <w:p w14:paraId="5F32EB44" w14:textId="77777777" w:rsidR="00E3794D" w:rsidRPr="00B560A2" w:rsidRDefault="00E3794D" w:rsidP="004500DF">
            <w:pPr>
              <w:pStyle w:val="CETBodytext"/>
              <w:rPr>
                <w:rFonts w:cs="Arial"/>
                <w:szCs w:val="18"/>
                <w:lang w:eastAsia="pt-BR"/>
              </w:rPr>
            </w:pPr>
            <w:r w:rsidRPr="00B560A2">
              <w:rPr>
                <w:rFonts w:cs="Arial"/>
                <w:szCs w:val="18"/>
                <w:lang w:eastAsia="pt-BR"/>
              </w:rPr>
              <w:t>Parameter</w:t>
            </w:r>
          </w:p>
        </w:tc>
        <w:tc>
          <w:tcPr>
            <w:tcW w:w="6480" w:type="dxa"/>
            <w:gridSpan w:val="4"/>
            <w:tcBorders>
              <w:top w:val="single" w:sz="12" w:space="0" w:color="008000"/>
              <w:left w:val="nil"/>
              <w:bottom w:val="single" w:sz="6" w:space="0" w:color="008000"/>
              <w:right w:val="nil"/>
            </w:tcBorders>
            <w:shd w:val="clear" w:color="auto" w:fill="FFFFFF"/>
          </w:tcPr>
          <w:p w14:paraId="3F7878C1" w14:textId="77777777" w:rsidR="00E3794D" w:rsidRDefault="00E3794D" w:rsidP="004500DF">
            <w:pPr>
              <w:pStyle w:val="CETBodytext"/>
              <w:ind w:right="-1"/>
              <w:jc w:val="center"/>
              <w:rPr>
                <w:rFonts w:cs="Arial"/>
                <w:szCs w:val="18"/>
                <w:lang w:val="en-GB"/>
              </w:rPr>
            </w:pPr>
            <w:r w:rsidRPr="00B560A2">
              <w:rPr>
                <w:rFonts w:cs="Arial"/>
                <w:color w:val="000000" w:themeColor="text1"/>
                <w:szCs w:val="18"/>
              </w:rPr>
              <w:t>Tamarind pulp powder</w:t>
            </w:r>
          </w:p>
        </w:tc>
      </w:tr>
      <w:tr w:rsidR="00E3794D" w14:paraId="489D2A7A" w14:textId="77777777" w:rsidTr="004500DF">
        <w:tc>
          <w:tcPr>
            <w:tcW w:w="1800" w:type="dxa"/>
            <w:vMerge/>
            <w:tcBorders>
              <w:left w:val="nil"/>
              <w:bottom w:val="single" w:sz="6" w:space="0" w:color="008000"/>
              <w:right w:val="nil"/>
            </w:tcBorders>
            <w:shd w:val="clear" w:color="auto" w:fill="FFFFFF"/>
            <w:hideMark/>
          </w:tcPr>
          <w:p w14:paraId="78D601D0" w14:textId="77777777" w:rsidR="00E3794D" w:rsidRDefault="00E3794D" w:rsidP="004500DF">
            <w:pPr>
              <w:pStyle w:val="CETBodytext"/>
              <w:rPr>
                <w:lang w:val="en-GB"/>
              </w:rPr>
            </w:pPr>
          </w:p>
        </w:tc>
        <w:tc>
          <w:tcPr>
            <w:tcW w:w="1890" w:type="dxa"/>
            <w:tcBorders>
              <w:top w:val="single" w:sz="12" w:space="0" w:color="008000"/>
              <w:left w:val="nil"/>
              <w:bottom w:val="single" w:sz="6" w:space="0" w:color="008000"/>
              <w:right w:val="nil"/>
            </w:tcBorders>
            <w:shd w:val="clear" w:color="auto" w:fill="FFFFFF"/>
            <w:hideMark/>
          </w:tcPr>
          <w:p w14:paraId="45107C7A" w14:textId="77777777" w:rsidR="00E3794D" w:rsidRDefault="00E3794D" w:rsidP="004500DF">
            <w:pPr>
              <w:pStyle w:val="CETBodytext"/>
              <w:jc w:val="center"/>
              <w:rPr>
                <w:lang w:val="en-GB"/>
              </w:rPr>
            </w:pPr>
            <w:r w:rsidRPr="00B560A2">
              <w:rPr>
                <w:rFonts w:cs="Arial"/>
                <w:color w:val="000000" w:themeColor="text1"/>
                <w:szCs w:val="18"/>
              </w:rPr>
              <w:t>C (pH 2.5)</w:t>
            </w:r>
          </w:p>
        </w:tc>
        <w:tc>
          <w:tcPr>
            <w:tcW w:w="1530" w:type="dxa"/>
            <w:tcBorders>
              <w:top w:val="single" w:sz="12" w:space="0" w:color="008000"/>
              <w:left w:val="nil"/>
              <w:bottom w:val="single" w:sz="6" w:space="0" w:color="008000"/>
              <w:right w:val="nil"/>
            </w:tcBorders>
            <w:shd w:val="clear" w:color="auto" w:fill="FFFFFF"/>
            <w:hideMark/>
          </w:tcPr>
          <w:p w14:paraId="24842E29" w14:textId="77777777" w:rsidR="00E3794D" w:rsidRDefault="00E3794D" w:rsidP="004500DF">
            <w:pPr>
              <w:pStyle w:val="CETBodytext"/>
              <w:jc w:val="center"/>
              <w:rPr>
                <w:lang w:val="en-GB"/>
              </w:rPr>
            </w:pPr>
            <w:r w:rsidRPr="00B560A2">
              <w:rPr>
                <w:rFonts w:cs="Arial"/>
                <w:color w:val="000000" w:themeColor="text1"/>
                <w:szCs w:val="18"/>
              </w:rPr>
              <w:t>N (pH 3.5)</w:t>
            </w:r>
          </w:p>
        </w:tc>
        <w:tc>
          <w:tcPr>
            <w:tcW w:w="1620" w:type="dxa"/>
            <w:tcBorders>
              <w:top w:val="single" w:sz="12" w:space="0" w:color="008000"/>
              <w:left w:val="nil"/>
              <w:bottom w:val="single" w:sz="6" w:space="0" w:color="008000"/>
              <w:right w:val="nil"/>
            </w:tcBorders>
            <w:shd w:val="clear" w:color="auto" w:fill="FFFFFF"/>
          </w:tcPr>
          <w:p w14:paraId="7DEBAC90" w14:textId="77777777" w:rsidR="00E3794D" w:rsidRDefault="00E3794D" w:rsidP="004500DF">
            <w:pPr>
              <w:pStyle w:val="CETBodytext"/>
              <w:ind w:right="-1"/>
              <w:jc w:val="center"/>
              <w:rPr>
                <w:rFonts w:cs="Arial"/>
                <w:szCs w:val="18"/>
                <w:lang w:val="en-GB"/>
              </w:rPr>
            </w:pPr>
            <w:r w:rsidRPr="00B560A2">
              <w:rPr>
                <w:rFonts w:cs="Arial"/>
                <w:color w:val="000000" w:themeColor="text1"/>
                <w:szCs w:val="18"/>
              </w:rPr>
              <w:t>C + CaCO</w:t>
            </w:r>
            <w:r w:rsidRPr="00B560A2">
              <w:rPr>
                <w:rFonts w:cs="Arial"/>
                <w:color w:val="000000" w:themeColor="text1"/>
                <w:szCs w:val="18"/>
                <w:vertAlign w:val="subscript"/>
              </w:rPr>
              <w:t>3</w:t>
            </w:r>
          </w:p>
        </w:tc>
        <w:tc>
          <w:tcPr>
            <w:tcW w:w="1440" w:type="dxa"/>
            <w:tcBorders>
              <w:top w:val="single" w:sz="12" w:space="0" w:color="008000"/>
              <w:left w:val="nil"/>
              <w:bottom w:val="single" w:sz="6" w:space="0" w:color="008000"/>
              <w:right w:val="nil"/>
            </w:tcBorders>
            <w:shd w:val="clear" w:color="auto" w:fill="FFFFFF"/>
          </w:tcPr>
          <w:p w14:paraId="55481010" w14:textId="77777777" w:rsidR="00E3794D" w:rsidRDefault="00E3794D" w:rsidP="004500DF">
            <w:pPr>
              <w:pStyle w:val="CETBodytext"/>
              <w:ind w:right="-1"/>
              <w:jc w:val="center"/>
              <w:rPr>
                <w:rFonts w:cs="Arial"/>
                <w:szCs w:val="18"/>
                <w:lang w:val="en-GB"/>
              </w:rPr>
            </w:pPr>
            <w:r w:rsidRPr="00B560A2">
              <w:rPr>
                <w:rFonts w:cs="Arial"/>
                <w:color w:val="000000" w:themeColor="text1"/>
                <w:szCs w:val="18"/>
              </w:rPr>
              <w:t>N + CaCO</w:t>
            </w:r>
            <w:r w:rsidRPr="00B560A2">
              <w:rPr>
                <w:rFonts w:cs="Arial"/>
                <w:color w:val="000000" w:themeColor="text1"/>
                <w:szCs w:val="18"/>
                <w:vertAlign w:val="subscript"/>
              </w:rPr>
              <w:t>3</w:t>
            </w:r>
          </w:p>
        </w:tc>
      </w:tr>
      <w:tr w:rsidR="00E3794D" w14:paraId="1135CAA2" w14:textId="77777777" w:rsidTr="004500DF">
        <w:tc>
          <w:tcPr>
            <w:tcW w:w="1800" w:type="dxa"/>
            <w:tcBorders>
              <w:top w:val="nil"/>
              <w:left w:val="nil"/>
              <w:bottom w:val="nil"/>
              <w:right w:val="nil"/>
            </w:tcBorders>
            <w:shd w:val="clear" w:color="auto" w:fill="FFFFFF"/>
            <w:vAlign w:val="center"/>
            <w:hideMark/>
          </w:tcPr>
          <w:p w14:paraId="50735D0A" w14:textId="77777777" w:rsidR="00E3794D" w:rsidRDefault="00E3794D" w:rsidP="004500DF">
            <w:pPr>
              <w:pStyle w:val="CETBodytext"/>
              <w:rPr>
                <w:lang w:val="en-GB"/>
              </w:rPr>
            </w:pPr>
            <w:r w:rsidRPr="00B560A2">
              <w:rPr>
                <w:rFonts w:cs="Arial"/>
                <w:szCs w:val="18"/>
                <w:lang w:eastAsia="pt-BR"/>
              </w:rPr>
              <w:t>Moisture (%)</w:t>
            </w:r>
          </w:p>
        </w:tc>
        <w:tc>
          <w:tcPr>
            <w:tcW w:w="1890" w:type="dxa"/>
            <w:tcBorders>
              <w:top w:val="nil"/>
              <w:left w:val="nil"/>
              <w:bottom w:val="nil"/>
              <w:right w:val="nil"/>
            </w:tcBorders>
            <w:shd w:val="clear" w:color="auto" w:fill="FFFFFF"/>
            <w:vAlign w:val="center"/>
          </w:tcPr>
          <w:p w14:paraId="74C536D9" w14:textId="77777777" w:rsidR="00E3794D" w:rsidRDefault="00E3794D" w:rsidP="004500DF">
            <w:pPr>
              <w:pStyle w:val="CETBodytext"/>
              <w:jc w:val="center"/>
              <w:rPr>
                <w:lang w:val="en-GB"/>
              </w:rPr>
            </w:pPr>
            <w:r w:rsidRPr="00B560A2">
              <w:rPr>
                <w:rFonts w:cs="Arial"/>
                <w:szCs w:val="18"/>
                <w:lang w:eastAsia="pt-BR"/>
              </w:rPr>
              <w:t>2.63 ± 0.13</w:t>
            </w:r>
            <w:r w:rsidRPr="00C2161B">
              <w:rPr>
                <w:rFonts w:cs="Arial"/>
                <w:color w:val="9BBB59" w:themeColor="accent3"/>
                <w:szCs w:val="18"/>
                <w:vertAlign w:val="superscript"/>
                <w:lang w:eastAsia="pt-BR"/>
              </w:rPr>
              <w:t xml:space="preserve"> a</w:t>
            </w:r>
          </w:p>
        </w:tc>
        <w:tc>
          <w:tcPr>
            <w:tcW w:w="1530" w:type="dxa"/>
            <w:tcBorders>
              <w:top w:val="nil"/>
              <w:left w:val="nil"/>
              <w:bottom w:val="nil"/>
              <w:right w:val="nil"/>
            </w:tcBorders>
            <w:shd w:val="clear" w:color="auto" w:fill="FFFFFF"/>
            <w:vAlign w:val="center"/>
          </w:tcPr>
          <w:p w14:paraId="4CD62A74" w14:textId="77777777" w:rsidR="00E3794D" w:rsidRDefault="00E3794D" w:rsidP="004500DF">
            <w:pPr>
              <w:pStyle w:val="CETBodytext"/>
              <w:jc w:val="center"/>
              <w:rPr>
                <w:lang w:val="en-GB"/>
              </w:rPr>
            </w:pPr>
            <w:r w:rsidRPr="00B560A2">
              <w:rPr>
                <w:rFonts w:cs="Arial"/>
                <w:szCs w:val="18"/>
                <w:lang w:eastAsia="pt-BR"/>
              </w:rPr>
              <w:t>2.68 ± 0.</w:t>
            </w:r>
            <w:r>
              <w:rPr>
                <w:rFonts w:cs="Arial"/>
                <w:szCs w:val="18"/>
                <w:lang w:eastAsia="pt-BR"/>
              </w:rPr>
              <w:t>07</w:t>
            </w:r>
            <w:r w:rsidRPr="00C2161B">
              <w:rPr>
                <w:rFonts w:cs="Arial"/>
                <w:color w:val="9BBB59" w:themeColor="accent3"/>
                <w:szCs w:val="18"/>
                <w:vertAlign w:val="superscript"/>
                <w:lang w:eastAsia="pt-BR"/>
              </w:rPr>
              <w:t xml:space="preserve"> a</w:t>
            </w:r>
          </w:p>
        </w:tc>
        <w:tc>
          <w:tcPr>
            <w:tcW w:w="1620" w:type="dxa"/>
            <w:tcBorders>
              <w:top w:val="nil"/>
              <w:left w:val="nil"/>
              <w:bottom w:val="nil"/>
              <w:right w:val="nil"/>
            </w:tcBorders>
            <w:shd w:val="clear" w:color="auto" w:fill="FFFFFF"/>
            <w:vAlign w:val="center"/>
          </w:tcPr>
          <w:p w14:paraId="4F27754A" w14:textId="77777777" w:rsidR="00E3794D" w:rsidRDefault="00E3794D" w:rsidP="004500DF">
            <w:pPr>
              <w:pStyle w:val="CETBodytext"/>
              <w:ind w:right="-1"/>
              <w:jc w:val="center"/>
              <w:rPr>
                <w:rFonts w:cs="Arial"/>
                <w:szCs w:val="18"/>
                <w:lang w:val="en-GB"/>
              </w:rPr>
            </w:pPr>
            <w:r w:rsidRPr="00B560A2">
              <w:rPr>
                <w:rFonts w:cs="Arial"/>
                <w:szCs w:val="18"/>
                <w:lang w:eastAsia="pt-BR"/>
              </w:rPr>
              <w:t>2.80 ± 0.78</w:t>
            </w:r>
            <w:r w:rsidRPr="00C2161B">
              <w:rPr>
                <w:rFonts w:cs="Arial"/>
                <w:color w:val="9BBB59" w:themeColor="accent3"/>
                <w:szCs w:val="18"/>
                <w:vertAlign w:val="superscript"/>
                <w:lang w:eastAsia="pt-BR"/>
              </w:rPr>
              <w:t xml:space="preserve"> a</w:t>
            </w:r>
          </w:p>
        </w:tc>
        <w:tc>
          <w:tcPr>
            <w:tcW w:w="1440" w:type="dxa"/>
            <w:tcBorders>
              <w:top w:val="nil"/>
              <w:left w:val="nil"/>
              <w:bottom w:val="nil"/>
              <w:right w:val="nil"/>
            </w:tcBorders>
            <w:shd w:val="clear" w:color="auto" w:fill="FFFFFF"/>
            <w:vAlign w:val="center"/>
          </w:tcPr>
          <w:p w14:paraId="37CB66DC" w14:textId="77777777" w:rsidR="00E3794D" w:rsidRDefault="00E3794D" w:rsidP="004500DF">
            <w:pPr>
              <w:pStyle w:val="CETBodytext"/>
              <w:ind w:right="-1"/>
              <w:jc w:val="center"/>
              <w:rPr>
                <w:rFonts w:cs="Arial"/>
                <w:szCs w:val="18"/>
                <w:lang w:val="en-GB"/>
              </w:rPr>
            </w:pPr>
            <w:r w:rsidRPr="00B560A2">
              <w:rPr>
                <w:rFonts w:cs="Arial"/>
                <w:szCs w:val="18"/>
                <w:lang w:eastAsia="pt-BR"/>
              </w:rPr>
              <w:t>2.80 ± 0.03</w:t>
            </w:r>
            <w:r w:rsidRPr="00C2161B">
              <w:rPr>
                <w:rFonts w:cs="Arial"/>
                <w:color w:val="9BBB59" w:themeColor="accent3"/>
                <w:szCs w:val="18"/>
                <w:vertAlign w:val="superscript"/>
                <w:lang w:eastAsia="pt-BR"/>
              </w:rPr>
              <w:t xml:space="preserve"> a</w:t>
            </w:r>
          </w:p>
        </w:tc>
      </w:tr>
      <w:tr w:rsidR="00E3794D" w14:paraId="2F57A6BC" w14:textId="77777777" w:rsidTr="004500DF">
        <w:tc>
          <w:tcPr>
            <w:tcW w:w="1800" w:type="dxa"/>
            <w:tcBorders>
              <w:top w:val="nil"/>
              <w:left w:val="nil"/>
              <w:bottom w:val="nil"/>
              <w:right w:val="nil"/>
            </w:tcBorders>
            <w:shd w:val="clear" w:color="auto" w:fill="FFFFFF"/>
            <w:vAlign w:val="center"/>
          </w:tcPr>
          <w:p w14:paraId="57AB71FB" w14:textId="77777777" w:rsidR="00E3794D" w:rsidRDefault="00E3794D" w:rsidP="004500DF">
            <w:pPr>
              <w:pStyle w:val="CETBodytext"/>
              <w:ind w:right="-1"/>
              <w:rPr>
                <w:rFonts w:cs="Arial"/>
                <w:szCs w:val="18"/>
                <w:lang w:val="en-GB"/>
              </w:rPr>
            </w:pPr>
            <w:r w:rsidRPr="00B560A2">
              <w:rPr>
                <w:rFonts w:cs="Arial"/>
                <w:szCs w:val="18"/>
                <w:lang w:eastAsia="pt-BR"/>
              </w:rPr>
              <w:t>Water activity (a</w:t>
            </w:r>
            <w:r w:rsidRPr="00B560A2">
              <w:rPr>
                <w:rFonts w:cs="Arial"/>
                <w:szCs w:val="18"/>
                <w:vertAlign w:val="subscript"/>
                <w:lang w:eastAsia="pt-BR"/>
              </w:rPr>
              <w:t>w</w:t>
            </w:r>
            <w:r w:rsidRPr="00B560A2">
              <w:rPr>
                <w:rFonts w:cs="Arial"/>
                <w:szCs w:val="18"/>
                <w:lang w:eastAsia="pt-BR"/>
              </w:rPr>
              <w:t>)</w:t>
            </w:r>
          </w:p>
        </w:tc>
        <w:tc>
          <w:tcPr>
            <w:tcW w:w="1890" w:type="dxa"/>
            <w:tcBorders>
              <w:top w:val="nil"/>
              <w:left w:val="nil"/>
              <w:bottom w:val="nil"/>
              <w:right w:val="nil"/>
            </w:tcBorders>
            <w:shd w:val="clear" w:color="auto" w:fill="FFFFFF"/>
            <w:vAlign w:val="center"/>
          </w:tcPr>
          <w:p w14:paraId="67408ECF" w14:textId="77777777" w:rsidR="00E3794D" w:rsidRDefault="00E3794D" w:rsidP="004500DF">
            <w:pPr>
              <w:pStyle w:val="CETBodytext"/>
              <w:ind w:right="-1"/>
              <w:jc w:val="center"/>
              <w:rPr>
                <w:rFonts w:cs="Arial"/>
                <w:szCs w:val="18"/>
                <w:lang w:val="en-GB"/>
              </w:rPr>
            </w:pPr>
            <w:r w:rsidRPr="00B560A2">
              <w:rPr>
                <w:rFonts w:cs="Arial"/>
                <w:szCs w:val="18"/>
                <w:lang w:eastAsia="pt-BR"/>
              </w:rPr>
              <w:t>0.19 ± 0.02</w:t>
            </w:r>
            <w:r w:rsidRPr="00C2161B">
              <w:rPr>
                <w:rFonts w:cs="Arial"/>
                <w:color w:val="9BBB59" w:themeColor="accent3"/>
                <w:szCs w:val="18"/>
                <w:vertAlign w:val="superscript"/>
                <w:lang w:eastAsia="pt-BR"/>
              </w:rPr>
              <w:t xml:space="preserve"> a</w:t>
            </w:r>
          </w:p>
        </w:tc>
        <w:tc>
          <w:tcPr>
            <w:tcW w:w="1530" w:type="dxa"/>
            <w:tcBorders>
              <w:top w:val="nil"/>
              <w:left w:val="nil"/>
              <w:bottom w:val="nil"/>
              <w:right w:val="nil"/>
            </w:tcBorders>
            <w:shd w:val="clear" w:color="auto" w:fill="FFFFFF"/>
            <w:vAlign w:val="center"/>
          </w:tcPr>
          <w:p w14:paraId="32B3993B" w14:textId="77777777" w:rsidR="00E3794D" w:rsidRDefault="00E3794D" w:rsidP="004500DF">
            <w:pPr>
              <w:pStyle w:val="CETBodytext"/>
              <w:ind w:right="-1"/>
              <w:jc w:val="center"/>
              <w:rPr>
                <w:rFonts w:cs="Arial"/>
                <w:szCs w:val="18"/>
                <w:lang w:val="en-GB"/>
              </w:rPr>
            </w:pPr>
            <w:r w:rsidRPr="00B560A2">
              <w:rPr>
                <w:rFonts w:cs="Arial"/>
                <w:szCs w:val="18"/>
                <w:lang w:eastAsia="pt-BR"/>
              </w:rPr>
              <w:t>0.1</w:t>
            </w:r>
            <w:r>
              <w:rPr>
                <w:rFonts w:cs="Arial"/>
                <w:szCs w:val="18"/>
                <w:lang w:eastAsia="pt-BR"/>
              </w:rPr>
              <w:t>6</w:t>
            </w:r>
            <w:r w:rsidRPr="00B560A2">
              <w:rPr>
                <w:rFonts w:cs="Arial"/>
                <w:szCs w:val="18"/>
                <w:lang w:eastAsia="pt-BR"/>
              </w:rPr>
              <w:t xml:space="preserve"> ± 0.0</w:t>
            </w:r>
            <w:r>
              <w:rPr>
                <w:rFonts w:cs="Arial"/>
                <w:szCs w:val="18"/>
                <w:lang w:eastAsia="pt-BR"/>
              </w:rPr>
              <w:t>1</w:t>
            </w:r>
            <w:r w:rsidRPr="00C2161B">
              <w:rPr>
                <w:rFonts w:cs="Arial"/>
                <w:color w:val="9BBB59" w:themeColor="accent3"/>
                <w:szCs w:val="18"/>
                <w:vertAlign w:val="superscript"/>
                <w:lang w:eastAsia="pt-BR"/>
              </w:rPr>
              <w:t xml:space="preserve"> a</w:t>
            </w:r>
            <w:r>
              <w:rPr>
                <w:rFonts w:cs="Arial"/>
                <w:color w:val="9BBB59" w:themeColor="accent3"/>
                <w:szCs w:val="18"/>
                <w:vertAlign w:val="superscript"/>
                <w:lang w:eastAsia="pt-BR"/>
              </w:rPr>
              <w:t>b</w:t>
            </w:r>
          </w:p>
        </w:tc>
        <w:tc>
          <w:tcPr>
            <w:tcW w:w="1620" w:type="dxa"/>
            <w:tcBorders>
              <w:top w:val="nil"/>
              <w:left w:val="nil"/>
              <w:bottom w:val="nil"/>
              <w:right w:val="nil"/>
            </w:tcBorders>
            <w:shd w:val="clear" w:color="auto" w:fill="FFFFFF"/>
            <w:vAlign w:val="center"/>
          </w:tcPr>
          <w:p w14:paraId="2F0A33D7" w14:textId="77777777" w:rsidR="00E3794D" w:rsidRDefault="00E3794D" w:rsidP="004500DF">
            <w:pPr>
              <w:pStyle w:val="CETBodytext"/>
              <w:ind w:right="-1"/>
              <w:jc w:val="center"/>
              <w:rPr>
                <w:rFonts w:cs="Arial"/>
                <w:szCs w:val="18"/>
                <w:lang w:val="en-GB"/>
              </w:rPr>
            </w:pPr>
            <w:r w:rsidRPr="00B560A2">
              <w:rPr>
                <w:rFonts w:cs="Arial"/>
                <w:szCs w:val="18"/>
                <w:lang w:eastAsia="pt-BR"/>
              </w:rPr>
              <w:t>0.1</w:t>
            </w:r>
            <w:r>
              <w:rPr>
                <w:rFonts w:cs="Arial"/>
                <w:szCs w:val="18"/>
                <w:lang w:eastAsia="pt-BR"/>
              </w:rPr>
              <w:t>5</w:t>
            </w:r>
            <w:r w:rsidRPr="00B560A2">
              <w:rPr>
                <w:rFonts w:cs="Arial"/>
                <w:szCs w:val="18"/>
                <w:lang w:eastAsia="pt-BR"/>
              </w:rPr>
              <w:t xml:space="preserve"> ± 0.0</w:t>
            </w:r>
            <w:r>
              <w:rPr>
                <w:rFonts w:cs="Arial"/>
                <w:szCs w:val="18"/>
                <w:lang w:eastAsia="pt-BR"/>
              </w:rPr>
              <w:t>2</w:t>
            </w:r>
            <w:r w:rsidRPr="00C2161B">
              <w:rPr>
                <w:rFonts w:cs="Arial"/>
                <w:color w:val="9BBB59" w:themeColor="accent3"/>
                <w:szCs w:val="18"/>
                <w:vertAlign w:val="superscript"/>
                <w:lang w:eastAsia="pt-BR"/>
              </w:rPr>
              <w:t xml:space="preserve"> </w:t>
            </w:r>
            <w:r>
              <w:rPr>
                <w:rFonts w:cs="Arial"/>
                <w:color w:val="9BBB59" w:themeColor="accent3"/>
                <w:szCs w:val="18"/>
                <w:vertAlign w:val="superscript"/>
                <w:lang w:eastAsia="pt-BR"/>
              </w:rPr>
              <w:t>b</w:t>
            </w:r>
          </w:p>
        </w:tc>
        <w:tc>
          <w:tcPr>
            <w:tcW w:w="1440" w:type="dxa"/>
            <w:tcBorders>
              <w:top w:val="nil"/>
              <w:left w:val="nil"/>
              <w:bottom w:val="nil"/>
              <w:right w:val="nil"/>
            </w:tcBorders>
            <w:shd w:val="clear" w:color="auto" w:fill="FFFFFF"/>
            <w:vAlign w:val="center"/>
          </w:tcPr>
          <w:p w14:paraId="35739CEB" w14:textId="77777777" w:rsidR="00E3794D" w:rsidRDefault="00E3794D" w:rsidP="004500DF">
            <w:pPr>
              <w:pStyle w:val="CETBodytext"/>
              <w:ind w:right="-1"/>
              <w:jc w:val="center"/>
              <w:rPr>
                <w:rFonts w:cs="Arial"/>
                <w:szCs w:val="18"/>
                <w:lang w:val="en-GB"/>
              </w:rPr>
            </w:pPr>
            <w:r w:rsidRPr="00B560A2">
              <w:rPr>
                <w:rFonts w:cs="Arial"/>
                <w:szCs w:val="18"/>
                <w:lang w:eastAsia="pt-BR"/>
              </w:rPr>
              <w:t>0.15 ± 0.01</w:t>
            </w:r>
            <w:r w:rsidRPr="00C2161B">
              <w:rPr>
                <w:rFonts w:cs="Arial"/>
                <w:color w:val="9BBB59" w:themeColor="accent3"/>
                <w:szCs w:val="18"/>
                <w:vertAlign w:val="superscript"/>
                <w:lang w:eastAsia="pt-BR"/>
              </w:rPr>
              <w:t xml:space="preserve"> </w:t>
            </w:r>
            <w:r>
              <w:rPr>
                <w:rFonts w:cs="Arial"/>
                <w:color w:val="9BBB59" w:themeColor="accent3"/>
                <w:szCs w:val="18"/>
                <w:vertAlign w:val="superscript"/>
                <w:lang w:eastAsia="pt-BR"/>
              </w:rPr>
              <w:t>b</w:t>
            </w:r>
          </w:p>
        </w:tc>
      </w:tr>
      <w:tr w:rsidR="00E3794D" w14:paraId="2DE0140E" w14:textId="77777777" w:rsidTr="004500DF">
        <w:tc>
          <w:tcPr>
            <w:tcW w:w="1800" w:type="dxa"/>
            <w:tcBorders>
              <w:top w:val="nil"/>
              <w:left w:val="nil"/>
              <w:bottom w:val="nil"/>
              <w:right w:val="nil"/>
            </w:tcBorders>
            <w:shd w:val="clear" w:color="auto" w:fill="FFFFFF"/>
            <w:vAlign w:val="center"/>
          </w:tcPr>
          <w:p w14:paraId="50A43916" w14:textId="77777777" w:rsidR="00E3794D" w:rsidRDefault="00E3794D" w:rsidP="004500DF">
            <w:pPr>
              <w:pStyle w:val="CETBodytext"/>
              <w:ind w:right="-1"/>
              <w:rPr>
                <w:rFonts w:cs="Arial"/>
                <w:szCs w:val="18"/>
                <w:lang w:val="en-GB"/>
              </w:rPr>
            </w:pPr>
            <w:r w:rsidRPr="00B560A2">
              <w:rPr>
                <w:rFonts w:cs="Arial"/>
                <w:szCs w:val="18"/>
                <w:lang w:eastAsia="pt-BR"/>
              </w:rPr>
              <w:t>L*</w:t>
            </w:r>
          </w:p>
        </w:tc>
        <w:tc>
          <w:tcPr>
            <w:tcW w:w="1890" w:type="dxa"/>
            <w:tcBorders>
              <w:top w:val="nil"/>
              <w:left w:val="nil"/>
              <w:bottom w:val="nil"/>
              <w:right w:val="nil"/>
            </w:tcBorders>
            <w:shd w:val="clear" w:color="auto" w:fill="FFFFFF"/>
            <w:vAlign w:val="center"/>
          </w:tcPr>
          <w:p w14:paraId="472EE313" w14:textId="77777777" w:rsidR="00E3794D" w:rsidRDefault="00E3794D" w:rsidP="004500DF">
            <w:pPr>
              <w:pStyle w:val="CETBodytext"/>
              <w:ind w:right="-1"/>
              <w:jc w:val="center"/>
              <w:rPr>
                <w:rFonts w:cs="Arial"/>
                <w:szCs w:val="18"/>
                <w:lang w:val="en-GB"/>
              </w:rPr>
            </w:pPr>
            <w:r w:rsidRPr="00B560A2">
              <w:rPr>
                <w:rFonts w:cs="Arial"/>
                <w:szCs w:val="18"/>
                <w:lang w:eastAsia="pt-BR"/>
              </w:rPr>
              <w:t>61.28 ± 2.20</w:t>
            </w:r>
            <w:r w:rsidRPr="00D1069C">
              <w:rPr>
                <w:rFonts w:cs="Arial"/>
                <w:color w:val="9BBB59" w:themeColor="accent3"/>
                <w:szCs w:val="18"/>
                <w:vertAlign w:val="superscript"/>
                <w:lang w:eastAsia="pt-BR"/>
              </w:rPr>
              <w:t>a</w:t>
            </w:r>
          </w:p>
        </w:tc>
        <w:tc>
          <w:tcPr>
            <w:tcW w:w="1530" w:type="dxa"/>
            <w:tcBorders>
              <w:top w:val="nil"/>
              <w:left w:val="nil"/>
              <w:bottom w:val="nil"/>
              <w:right w:val="nil"/>
            </w:tcBorders>
            <w:shd w:val="clear" w:color="auto" w:fill="FFFFFF"/>
            <w:vAlign w:val="center"/>
          </w:tcPr>
          <w:p w14:paraId="6CCA20D3" w14:textId="77777777" w:rsidR="00E3794D" w:rsidRDefault="00E3794D" w:rsidP="004500DF">
            <w:pPr>
              <w:pStyle w:val="CETBodytext"/>
              <w:ind w:right="-1"/>
              <w:jc w:val="center"/>
              <w:rPr>
                <w:rFonts w:cs="Arial"/>
                <w:szCs w:val="18"/>
                <w:lang w:val="en-GB"/>
              </w:rPr>
            </w:pPr>
            <w:r w:rsidRPr="00B560A2">
              <w:rPr>
                <w:rFonts w:cs="Arial"/>
                <w:szCs w:val="18"/>
                <w:lang w:eastAsia="pt-BR"/>
              </w:rPr>
              <w:t>65.93 ± 0.29</w:t>
            </w:r>
            <w:r w:rsidRPr="00C2161B">
              <w:rPr>
                <w:rFonts w:cs="Arial"/>
                <w:color w:val="9BBB59" w:themeColor="accent3"/>
                <w:szCs w:val="18"/>
                <w:vertAlign w:val="superscript"/>
                <w:lang w:eastAsia="pt-BR"/>
              </w:rPr>
              <w:t xml:space="preserve"> </w:t>
            </w:r>
            <w:r>
              <w:rPr>
                <w:rFonts w:cs="Arial"/>
                <w:color w:val="9BBB59" w:themeColor="accent3"/>
                <w:szCs w:val="18"/>
                <w:vertAlign w:val="superscript"/>
                <w:lang w:eastAsia="pt-BR"/>
              </w:rPr>
              <w:t>b</w:t>
            </w:r>
          </w:p>
        </w:tc>
        <w:tc>
          <w:tcPr>
            <w:tcW w:w="1620" w:type="dxa"/>
            <w:tcBorders>
              <w:top w:val="nil"/>
              <w:left w:val="nil"/>
              <w:bottom w:val="nil"/>
              <w:right w:val="nil"/>
            </w:tcBorders>
            <w:shd w:val="clear" w:color="auto" w:fill="FFFFFF"/>
            <w:vAlign w:val="center"/>
          </w:tcPr>
          <w:p w14:paraId="215A1F16" w14:textId="77777777" w:rsidR="00E3794D" w:rsidRDefault="00E3794D" w:rsidP="004500DF">
            <w:pPr>
              <w:pStyle w:val="CETBodytext"/>
              <w:ind w:right="-1"/>
              <w:jc w:val="center"/>
              <w:rPr>
                <w:rFonts w:cs="Arial"/>
                <w:szCs w:val="18"/>
                <w:lang w:val="en-GB"/>
              </w:rPr>
            </w:pPr>
            <w:r w:rsidRPr="00B560A2">
              <w:rPr>
                <w:rFonts w:cs="Arial"/>
                <w:szCs w:val="18"/>
                <w:lang w:eastAsia="pt-BR"/>
              </w:rPr>
              <w:t>67.92 ± 0.84</w:t>
            </w:r>
            <w:r w:rsidRPr="00C2161B">
              <w:rPr>
                <w:rFonts w:cs="Arial"/>
                <w:color w:val="9BBB59" w:themeColor="accent3"/>
                <w:szCs w:val="18"/>
                <w:vertAlign w:val="superscript"/>
                <w:lang w:eastAsia="pt-BR"/>
              </w:rPr>
              <w:t xml:space="preserve"> </w:t>
            </w:r>
            <w:r>
              <w:rPr>
                <w:rFonts w:cs="Arial"/>
                <w:color w:val="9BBB59" w:themeColor="accent3"/>
                <w:szCs w:val="18"/>
                <w:vertAlign w:val="superscript"/>
                <w:lang w:eastAsia="pt-BR"/>
              </w:rPr>
              <w:t>bc</w:t>
            </w:r>
          </w:p>
        </w:tc>
        <w:tc>
          <w:tcPr>
            <w:tcW w:w="1440" w:type="dxa"/>
            <w:tcBorders>
              <w:top w:val="nil"/>
              <w:left w:val="nil"/>
              <w:bottom w:val="nil"/>
              <w:right w:val="nil"/>
            </w:tcBorders>
            <w:shd w:val="clear" w:color="auto" w:fill="FFFFFF"/>
            <w:vAlign w:val="center"/>
          </w:tcPr>
          <w:p w14:paraId="19676024" w14:textId="77777777" w:rsidR="00E3794D" w:rsidRDefault="00E3794D" w:rsidP="004500DF">
            <w:pPr>
              <w:pStyle w:val="CETBodytext"/>
              <w:ind w:right="-1"/>
              <w:jc w:val="center"/>
              <w:rPr>
                <w:rFonts w:cs="Arial"/>
                <w:szCs w:val="18"/>
                <w:lang w:val="en-GB"/>
              </w:rPr>
            </w:pPr>
            <w:r w:rsidRPr="00B560A2">
              <w:rPr>
                <w:rFonts w:cs="Arial"/>
                <w:szCs w:val="18"/>
                <w:lang w:eastAsia="pt-BR"/>
              </w:rPr>
              <w:t>70.79 ± 0.01</w:t>
            </w:r>
            <w:r w:rsidRPr="00C2161B">
              <w:rPr>
                <w:rFonts w:cs="Arial"/>
                <w:color w:val="9BBB59" w:themeColor="accent3"/>
                <w:szCs w:val="18"/>
                <w:vertAlign w:val="superscript"/>
                <w:lang w:eastAsia="pt-BR"/>
              </w:rPr>
              <w:t xml:space="preserve"> </w:t>
            </w:r>
            <w:r>
              <w:rPr>
                <w:rFonts w:cs="Arial"/>
                <w:color w:val="9BBB59" w:themeColor="accent3"/>
                <w:szCs w:val="18"/>
                <w:vertAlign w:val="superscript"/>
                <w:lang w:eastAsia="pt-BR"/>
              </w:rPr>
              <w:t>c</w:t>
            </w:r>
          </w:p>
        </w:tc>
      </w:tr>
      <w:tr w:rsidR="00E3794D" w14:paraId="5D30E68A" w14:textId="77777777" w:rsidTr="004500DF">
        <w:tc>
          <w:tcPr>
            <w:tcW w:w="1800" w:type="dxa"/>
            <w:tcBorders>
              <w:top w:val="nil"/>
              <w:left w:val="nil"/>
              <w:bottom w:val="nil"/>
              <w:right w:val="nil"/>
            </w:tcBorders>
            <w:shd w:val="clear" w:color="auto" w:fill="FFFFFF"/>
            <w:vAlign w:val="center"/>
          </w:tcPr>
          <w:p w14:paraId="086E21CD" w14:textId="77777777" w:rsidR="00E3794D" w:rsidRDefault="00E3794D" w:rsidP="004500DF">
            <w:pPr>
              <w:pStyle w:val="CETBodytext"/>
              <w:ind w:right="-1"/>
              <w:rPr>
                <w:rFonts w:cs="Arial"/>
                <w:szCs w:val="18"/>
                <w:lang w:val="en-GB"/>
              </w:rPr>
            </w:pPr>
            <w:r w:rsidRPr="00B560A2">
              <w:rPr>
                <w:rFonts w:cs="Arial"/>
                <w:szCs w:val="18"/>
                <w:lang w:eastAsia="pt-BR"/>
              </w:rPr>
              <w:t>a*</w:t>
            </w:r>
          </w:p>
        </w:tc>
        <w:tc>
          <w:tcPr>
            <w:tcW w:w="1890" w:type="dxa"/>
            <w:tcBorders>
              <w:top w:val="nil"/>
              <w:left w:val="nil"/>
              <w:bottom w:val="nil"/>
              <w:right w:val="nil"/>
            </w:tcBorders>
            <w:shd w:val="clear" w:color="auto" w:fill="FFFFFF"/>
            <w:vAlign w:val="center"/>
          </w:tcPr>
          <w:p w14:paraId="0413583E" w14:textId="77777777" w:rsidR="00E3794D" w:rsidRDefault="00E3794D" w:rsidP="004500DF">
            <w:pPr>
              <w:pStyle w:val="CETBodytext"/>
              <w:ind w:right="-1"/>
              <w:jc w:val="center"/>
              <w:rPr>
                <w:rFonts w:cs="Arial"/>
                <w:szCs w:val="18"/>
                <w:lang w:val="en-GB"/>
              </w:rPr>
            </w:pPr>
            <w:r w:rsidRPr="00B560A2">
              <w:rPr>
                <w:rFonts w:cs="Arial"/>
                <w:szCs w:val="18"/>
                <w:lang w:eastAsia="pt-BR"/>
              </w:rPr>
              <w:t>7.63 ± 0.62</w:t>
            </w:r>
            <w:r w:rsidRPr="00C2161B">
              <w:rPr>
                <w:rFonts w:cs="Arial"/>
                <w:color w:val="9BBB59" w:themeColor="accent3"/>
                <w:szCs w:val="18"/>
                <w:vertAlign w:val="superscript"/>
                <w:lang w:eastAsia="pt-BR"/>
              </w:rPr>
              <w:t xml:space="preserve"> a</w:t>
            </w:r>
          </w:p>
        </w:tc>
        <w:tc>
          <w:tcPr>
            <w:tcW w:w="1530" w:type="dxa"/>
            <w:tcBorders>
              <w:top w:val="nil"/>
              <w:left w:val="nil"/>
              <w:bottom w:val="nil"/>
              <w:right w:val="nil"/>
            </w:tcBorders>
            <w:shd w:val="clear" w:color="auto" w:fill="FFFFFF"/>
            <w:vAlign w:val="center"/>
          </w:tcPr>
          <w:p w14:paraId="752D00C9" w14:textId="77777777" w:rsidR="00E3794D" w:rsidRDefault="00E3794D" w:rsidP="004500DF">
            <w:pPr>
              <w:pStyle w:val="CETBodytext"/>
              <w:ind w:right="-1"/>
              <w:jc w:val="center"/>
              <w:rPr>
                <w:rFonts w:cs="Arial"/>
                <w:szCs w:val="18"/>
                <w:lang w:val="en-GB"/>
              </w:rPr>
            </w:pPr>
            <w:r w:rsidRPr="00B560A2">
              <w:rPr>
                <w:rFonts w:cs="Arial"/>
                <w:szCs w:val="18"/>
                <w:lang w:eastAsia="pt-BR"/>
              </w:rPr>
              <w:t>5.97 ± 0.1</w:t>
            </w:r>
            <w:r>
              <w:rPr>
                <w:rFonts w:cs="Arial"/>
                <w:szCs w:val="18"/>
                <w:lang w:eastAsia="pt-BR"/>
              </w:rPr>
              <w:t>0</w:t>
            </w:r>
            <w:r w:rsidRPr="00C2161B">
              <w:rPr>
                <w:rFonts w:cs="Arial"/>
                <w:color w:val="9BBB59" w:themeColor="accent3"/>
                <w:szCs w:val="18"/>
                <w:vertAlign w:val="superscript"/>
                <w:lang w:eastAsia="pt-BR"/>
              </w:rPr>
              <w:t xml:space="preserve"> </w:t>
            </w:r>
            <w:r>
              <w:rPr>
                <w:rFonts w:cs="Arial"/>
                <w:color w:val="9BBB59" w:themeColor="accent3"/>
                <w:szCs w:val="18"/>
                <w:vertAlign w:val="superscript"/>
                <w:lang w:eastAsia="pt-BR"/>
              </w:rPr>
              <w:t>b</w:t>
            </w:r>
          </w:p>
        </w:tc>
        <w:tc>
          <w:tcPr>
            <w:tcW w:w="1620" w:type="dxa"/>
            <w:tcBorders>
              <w:top w:val="nil"/>
              <w:left w:val="nil"/>
              <w:bottom w:val="nil"/>
              <w:right w:val="nil"/>
            </w:tcBorders>
            <w:shd w:val="clear" w:color="auto" w:fill="FFFFFF"/>
            <w:vAlign w:val="center"/>
          </w:tcPr>
          <w:p w14:paraId="5A841D0C" w14:textId="77777777" w:rsidR="00E3794D" w:rsidRDefault="00E3794D" w:rsidP="004500DF">
            <w:pPr>
              <w:pStyle w:val="CETBodytext"/>
              <w:ind w:right="-1"/>
              <w:jc w:val="center"/>
              <w:rPr>
                <w:rFonts w:cs="Arial"/>
                <w:szCs w:val="18"/>
                <w:lang w:val="en-GB"/>
              </w:rPr>
            </w:pPr>
            <w:r w:rsidRPr="00B560A2">
              <w:rPr>
                <w:rFonts w:cs="Arial"/>
                <w:szCs w:val="18"/>
                <w:lang w:eastAsia="pt-BR"/>
              </w:rPr>
              <w:t>6.26 ± 0.25</w:t>
            </w:r>
            <w:r w:rsidRPr="00C2161B">
              <w:rPr>
                <w:rFonts w:cs="Arial"/>
                <w:color w:val="9BBB59" w:themeColor="accent3"/>
                <w:szCs w:val="18"/>
                <w:vertAlign w:val="superscript"/>
                <w:lang w:eastAsia="pt-BR"/>
              </w:rPr>
              <w:t xml:space="preserve"> </w:t>
            </w:r>
            <w:r>
              <w:rPr>
                <w:rFonts w:cs="Arial"/>
                <w:color w:val="9BBB59" w:themeColor="accent3"/>
                <w:szCs w:val="18"/>
                <w:vertAlign w:val="superscript"/>
                <w:lang w:eastAsia="pt-BR"/>
              </w:rPr>
              <w:t>b</w:t>
            </w:r>
          </w:p>
        </w:tc>
        <w:tc>
          <w:tcPr>
            <w:tcW w:w="1440" w:type="dxa"/>
            <w:tcBorders>
              <w:top w:val="nil"/>
              <w:left w:val="nil"/>
              <w:bottom w:val="nil"/>
              <w:right w:val="nil"/>
            </w:tcBorders>
            <w:shd w:val="clear" w:color="auto" w:fill="FFFFFF"/>
            <w:vAlign w:val="center"/>
          </w:tcPr>
          <w:p w14:paraId="195B4348" w14:textId="77777777" w:rsidR="00E3794D" w:rsidRDefault="00E3794D" w:rsidP="004500DF">
            <w:pPr>
              <w:pStyle w:val="CETBodytext"/>
              <w:ind w:right="-1"/>
              <w:jc w:val="center"/>
              <w:rPr>
                <w:rFonts w:cs="Arial"/>
                <w:szCs w:val="18"/>
                <w:lang w:val="en-GB"/>
              </w:rPr>
            </w:pPr>
            <w:r w:rsidRPr="00B560A2">
              <w:rPr>
                <w:rFonts w:cs="Arial"/>
                <w:szCs w:val="18"/>
                <w:lang w:eastAsia="pt-BR"/>
              </w:rPr>
              <w:t>4.90 ± 0.01</w:t>
            </w:r>
            <w:r w:rsidRPr="00C2161B">
              <w:rPr>
                <w:rFonts w:cs="Arial"/>
                <w:color w:val="9BBB59" w:themeColor="accent3"/>
                <w:szCs w:val="18"/>
                <w:vertAlign w:val="superscript"/>
                <w:lang w:eastAsia="pt-BR"/>
              </w:rPr>
              <w:t xml:space="preserve"> </w:t>
            </w:r>
            <w:r>
              <w:rPr>
                <w:rFonts w:cs="Arial"/>
                <w:color w:val="9BBB59" w:themeColor="accent3"/>
                <w:szCs w:val="18"/>
                <w:vertAlign w:val="superscript"/>
                <w:lang w:eastAsia="pt-BR"/>
              </w:rPr>
              <w:t>c</w:t>
            </w:r>
          </w:p>
        </w:tc>
      </w:tr>
      <w:tr w:rsidR="00E3794D" w14:paraId="6AE4D0FB" w14:textId="77777777" w:rsidTr="004500DF">
        <w:tc>
          <w:tcPr>
            <w:tcW w:w="1800" w:type="dxa"/>
            <w:tcBorders>
              <w:top w:val="nil"/>
              <w:left w:val="nil"/>
              <w:bottom w:val="nil"/>
              <w:right w:val="nil"/>
            </w:tcBorders>
            <w:shd w:val="clear" w:color="auto" w:fill="FFFFFF"/>
            <w:vAlign w:val="center"/>
          </w:tcPr>
          <w:p w14:paraId="38091D9E" w14:textId="77777777" w:rsidR="00E3794D" w:rsidRDefault="00E3794D" w:rsidP="004500DF">
            <w:pPr>
              <w:pStyle w:val="CETBodytext"/>
              <w:ind w:right="-1"/>
              <w:rPr>
                <w:rFonts w:cs="Arial"/>
                <w:szCs w:val="18"/>
                <w:lang w:val="en-GB"/>
              </w:rPr>
            </w:pPr>
            <w:r w:rsidRPr="00B560A2">
              <w:rPr>
                <w:rFonts w:cs="Arial"/>
                <w:szCs w:val="18"/>
                <w:lang w:eastAsia="pt-BR"/>
              </w:rPr>
              <w:t>b*</w:t>
            </w:r>
          </w:p>
        </w:tc>
        <w:tc>
          <w:tcPr>
            <w:tcW w:w="1890" w:type="dxa"/>
            <w:tcBorders>
              <w:top w:val="nil"/>
              <w:left w:val="nil"/>
              <w:bottom w:val="nil"/>
              <w:right w:val="nil"/>
            </w:tcBorders>
            <w:shd w:val="clear" w:color="auto" w:fill="FFFFFF"/>
            <w:vAlign w:val="center"/>
          </w:tcPr>
          <w:p w14:paraId="50C1F5F0" w14:textId="77777777" w:rsidR="00E3794D" w:rsidRDefault="00E3794D" w:rsidP="004500DF">
            <w:pPr>
              <w:pStyle w:val="CETBodytext"/>
              <w:ind w:right="-1"/>
              <w:jc w:val="center"/>
              <w:rPr>
                <w:rFonts w:cs="Arial"/>
                <w:szCs w:val="18"/>
                <w:lang w:val="en-GB"/>
              </w:rPr>
            </w:pPr>
            <w:r w:rsidRPr="00B560A2">
              <w:rPr>
                <w:rFonts w:cs="Arial"/>
                <w:szCs w:val="18"/>
                <w:lang w:eastAsia="pt-BR"/>
              </w:rPr>
              <w:t>29.48 ± 0.12</w:t>
            </w:r>
            <w:r w:rsidRPr="00C2161B">
              <w:rPr>
                <w:rFonts w:cs="Arial"/>
                <w:color w:val="9BBB59" w:themeColor="accent3"/>
                <w:szCs w:val="18"/>
                <w:vertAlign w:val="superscript"/>
                <w:lang w:eastAsia="pt-BR"/>
              </w:rPr>
              <w:t xml:space="preserve"> a</w:t>
            </w:r>
          </w:p>
        </w:tc>
        <w:tc>
          <w:tcPr>
            <w:tcW w:w="1530" w:type="dxa"/>
            <w:tcBorders>
              <w:top w:val="nil"/>
              <w:left w:val="nil"/>
              <w:bottom w:val="nil"/>
              <w:right w:val="nil"/>
            </w:tcBorders>
            <w:shd w:val="clear" w:color="auto" w:fill="FFFFFF"/>
            <w:vAlign w:val="center"/>
          </w:tcPr>
          <w:p w14:paraId="3C04D33A" w14:textId="77777777" w:rsidR="00E3794D" w:rsidRDefault="00E3794D" w:rsidP="004500DF">
            <w:pPr>
              <w:pStyle w:val="CETBodytext"/>
              <w:ind w:right="-1"/>
              <w:jc w:val="center"/>
              <w:rPr>
                <w:rFonts w:cs="Arial"/>
                <w:szCs w:val="18"/>
                <w:lang w:val="en-GB"/>
              </w:rPr>
            </w:pPr>
            <w:r w:rsidRPr="00B560A2">
              <w:rPr>
                <w:rFonts w:cs="Arial"/>
                <w:szCs w:val="18"/>
                <w:lang w:eastAsia="pt-BR"/>
              </w:rPr>
              <w:t>26.50 ± 0.02</w:t>
            </w:r>
            <w:r w:rsidRPr="00C2161B">
              <w:rPr>
                <w:rFonts w:cs="Arial"/>
                <w:color w:val="9BBB59" w:themeColor="accent3"/>
                <w:szCs w:val="18"/>
                <w:vertAlign w:val="superscript"/>
                <w:lang w:eastAsia="pt-BR"/>
              </w:rPr>
              <w:t xml:space="preserve"> </w:t>
            </w:r>
            <w:r>
              <w:rPr>
                <w:rFonts w:cs="Arial"/>
                <w:color w:val="9BBB59" w:themeColor="accent3"/>
                <w:szCs w:val="18"/>
                <w:vertAlign w:val="superscript"/>
                <w:lang w:eastAsia="pt-BR"/>
              </w:rPr>
              <w:t>b</w:t>
            </w:r>
          </w:p>
        </w:tc>
        <w:tc>
          <w:tcPr>
            <w:tcW w:w="1620" w:type="dxa"/>
            <w:tcBorders>
              <w:top w:val="nil"/>
              <w:left w:val="nil"/>
              <w:bottom w:val="nil"/>
              <w:right w:val="nil"/>
            </w:tcBorders>
            <w:shd w:val="clear" w:color="auto" w:fill="FFFFFF"/>
            <w:vAlign w:val="center"/>
          </w:tcPr>
          <w:p w14:paraId="20282626" w14:textId="77777777" w:rsidR="00E3794D" w:rsidRDefault="00E3794D" w:rsidP="004500DF">
            <w:pPr>
              <w:pStyle w:val="CETBodytext"/>
              <w:ind w:right="-1"/>
              <w:jc w:val="center"/>
              <w:rPr>
                <w:rFonts w:cs="Arial"/>
                <w:szCs w:val="18"/>
                <w:lang w:val="en-GB"/>
              </w:rPr>
            </w:pPr>
            <w:r w:rsidRPr="00B560A2">
              <w:rPr>
                <w:rFonts w:cs="Arial"/>
                <w:szCs w:val="18"/>
                <w:lang w:eastAsia="pt-BR"/>
              </w:rPr>
              <w:t>24.56 ± 0.08</w:t>
            </w:r>
            <w:r w:rsidRPr="00C2161B">
              <w:rPr>
                <w:rFonts w:cs="Arial"/>
                <w:color w:val="9BBB59" w:themeColor="accent3"/>
                <w:szCs w:val="18"/>
                <w:vertAlign w:val="superscript"/>
                <w:lang w:eastAsia="pt-BR"/>
              </w:rPr>
              <w:t xml:space="preserve"> </w:t>
            </w:r>
            <w:r>
              <w:rPr>
                <w:rFonts w:cs="Arial"/>
                <w:color w:val="9BBB59" w:themeColor="accent3"/>
                <w:szCs w:val="18"/>
                <w:vertAlign w:val="superscript"/>
                <w:lang w:eastAsia="pt-BR"/>
              </w:rPr>
              <w:t>c</w:t>
            </w:r>
          </w:p>
        </w:tc>
        <w:tc>
          <w:tcPr>
            <w:tcW w:w="1440" w:type="dxa"/>
            <w:tcBorders>
              <w:top w:val="nil"/>
              <w:left w:val="nil"/>
              <w:bottom w:val="nil"/>
              <w:right w:val="nil"/>
            </w:tcBorders>
            <w:shd w:val="clear" w:color="auto" w:fill="FFFFFF"/>
            <w:vAlign w:val="center"/>
          </w:tcPr>
          <w:p w14:paraId="3F4C3D9F" w14:textId="77777777" w:rsidR="00E3794D" w:rsidRDefault="00E3794D" w:rsidP="004500DF">
            <w:pPr>
              <w:pStyle w:val="CETBodytext"/>
              <w:ind w:right="-1"/>
              <w:jc w:val="center"/>
              <w:rPr>
                <w:rFonts w:cs="Arial"/>
                <w:szCs w:val="18"/>
                <w:lang w:val="en-GB"/>
              </w:rPr>
            </w:pPr>
            <w:r w:rsidRPr="00B560A2">
              <w:rPr>
                <w:rFonts w:cs="Arial"/>
                <w:szCs w:val="18"/>
                <w:lang w:eastAsia="pt-BR"/>
              </w:rPr>
              <w:t>22.39 ± 0.03</w:t>
            </w:r>
            <w:r w:rsidRPr="00C2161B">
              <w:rPr>
                <w:rFonts w:cs="Arial"/>
                <w:color w:val="9BBB59" w:themeColor="accent3"/>
                <w:szCs w:val="18"/>
                <w:vertAlign w:val="superscript"/>
                <w:lang w:eastAsia="pt-BR"/>
              </w:rPr>
              <w:t xml:space="preserve"> </w:t>
            </w:r>
            <w:r>
              <w:rPr>
                <w:rFonts w:cs="Arial"/>
                <w:color w:val="9BBB59" w:themeColor="accent3"/>
                <w:szCs w:val="18"/>
                <w:vertAlign w:val="superscript"/>
                <w:lang w:eastAsia="pt-BR"/>
              </w:rPr>
              <w:t>d</w:t>
            </w:r>
          </w:p>
        </w:tc>
      </w:tr>
      <w:tr w:rsidR="00E3794D" w14:paraId="3817A912" w14:textId="77777777" w:rsidTr="004500DF">
        <w:tc>
          <w:tcPr>
            <w:tcW w:w="1800" w:type="dxa"/>
            <w:tcBorders>
              <w:top w:val="nil"/>
              <w:left w:val="nil"/>
              <w:bottom w:val="nil"/>
              <w:right w:val="nil"/>
            </w:tcBorders>
            <w:shd w:val="clear" w:color="auto" w:fill="FFFFFF"/>
            <w:vAlign w:val="center"/>
          </w:tcPr>
          <w:p w14:paraId="67320D51" w14:textId="77777777" w:rsidR="00E3794D" w:rsidRDefault="00E3794D" w:rsidP="004500DF">
            <w:pPr>
              <w:pStyle w:val="CETBodytext"/>
              <w:ind w:right="-1"/>
              <w:rPr>
                <w:rFonts w:cs="Arial"/>
                <w:szCs w:val="18"/>
                <w:lang w:val="en-GB"/>
              </w:rPr>
            </w:pPr>
            <w:r w:rsidRPr="00B560A2">
              <w:rPr>
                <w:rFonts w:cs="Arial"/>
                <w:szCs w:val="18"/>
                <w:lang w:eastAsia="pt-BR"/>
              </w:rPr>
              <w:t>Flow index</w:t>
            </w:r>
          </w:p>
        </w:tc>
        <w:tc>
          <w:tcPr>
            <w:tcW w:w="1890" w:type="dxa"/>
            <w:tcBorders>
              <w:top w:val="nil"/>
              <w:left w:val="nil"/>
              <w:bottom w:val="nil"/>
              <w:right w:val="nil"/>
            </w:tcBorders>
            <w:shd w:val="clear" w:color="auto" w:fill="FFFFFF"/>
            <w:vAlign w:val="center"/>
          </w:tcPr>
          <w:p w14:paraId="0635B811" w14:textId="77777777" w:rsidR="00E3794D" w:rsidRDefault="00E3794D" w:rsidP="004500DF">
            <w:pPr>
              <w:pStyle w:val="CETBodytext"/>
              <w:ind w:right="-1"/>
              <w:jc w:val="center"/>
              <w:rPr>
                <w:rFonts w:cs="Arial"/>
                <w:szCs w:val="18"/>
                <w:lang w:val="en-GB"/>
              </w:rPr>
            </w:pPr>
            <w:r w:rsidRPr="00B560A2">
              <w:rPr>
                <w:rFonts w:cs="Arial"/>
                <w:szCs w:val="18"/>
                <w:lang w:eastAsia="pt-BR"/>
              </w:rPr>
              <w:t>1.01</w:t>
            </w:r>
            <w:r>
              <w:rPr>
                <w:rFonts w:cs="Arial"/>
                <w:szCs w:val="18"/>
                <w:lang w:eastAsia="pt-BR"/>
              </w:rPr>
              <w:t xml:space="preserve"> </w:t>
            </w:r>
            <w:r w:rsidRPr="00B560A2">
              <w:rPr>
                <w:rFonts w:cs="Arial"/>
                <w:szCs w:val="18"/>
                <w:lang w:eastAsia="pt-BR"/>
              </w:rPr>
              <w:t>(very cohesive)</w:t>
            </w:r>
          </w:p>
        </w:tc>
        <w:tc>
          <w:tcPr>
            <w:tcW w:w="1530" w:type="dxa"/>
            <w:tcBorders>
              <w:top w:val="nil"/>
              <w:left w:val="nil"/>
              <w:bottom w:val="nil"/>
              <w:right w:val="nil"/>
            </w:tcBorders>
            <w:shd w:val="clear" w:color="auto" w:fill="FFFFFF"/>
            <w:vAlign w:val="center"/>
          </w:tcPr>
          <w:p w14:paraId="55E31D45" w14:textId="77777777" w:rsidR="00E3794D" w:rsidRDefault="00E3794D" w:rsidP="004500DF">
            <w:pPr>
              <w:pStyle w:val="CETBodytext"/>
              <w:ind w:right="-1"/>
              <w:jc w:val="center"/>
              <w:rPr>
                <w:rFonts w:cs="Arial"/>
                <w:szCs w:val="18"/>
                <w:lang w:val="en-GB"/>
              </w:rPr>
            </w:pPr>
            <w:r w:rsidRPr="00B560A2">
              <w:rPr>
                <w:rFonts w:cs="Arial"/>
                <w:szCs w:val="18"/>
                <w:lang w:eastAsia="pt-BR"/>
              </w:rPr>
              <w:t>2.24</w:t>
            </w:r>
            <w:r>
              <w:rPr>
                <w:rFonts w:cs="Arial"/>
                <w:szCs w:val="18"/>
                <w:lang w:eastAsia="pt-BR"/>
              </w:rPr>
              <w:t xml:space="preserve"> </w:t>
            </w:r>
            <w:r w:rsidRPr="00B560A2">
              <w:rPr>
                <w:rFonts w:cs="Arial"/>
                <w:szCs w:val="18"/>
                <w:lang w:eastAsia="pt-BR"/>
              </w:rPr>
              <w:t>(cohesive)</w:t>
            </w:r>
          </w:p>
        </w:tc>
        <w:tc>
          <w:tcPr>
            <w:tcW w:w="1620" w:type="dxa"/>
            <w:tcBorders>
              <w:top w:val="nil"/>
              <w:left w:val="nil"/>
              <w:bottom w:val="nil"/>
              <w:right w:val="nil"/>
            </w:tcBorders>
            <w:shd w:val="clear" w:color="auto" w:fill="FFFFFF"/>
            <w:vAlign w:val="center"/>
          </w:tcPr>
          <w:p w14:paraId="04E6C9A5" w14:textId="77777777" w:rsidR="00E3794D" w:rsidRDefault="00E3794D" w:rsidP="004500DF">
            <w:pPr>
              <w:pStyle w:val="CETBodytext"/>
              <w:ind w:right="-1"/>
              <w:jc w:val="center"/>
              <w:rPr>
                <w:rFonts w:cs="Arial"/>
                <w:szCs w:val="18"/>
                <w:lang w:val="en-GB"/>
              </w:rPr>
            </w:pPr>
            <w:r w:rsidRPr="00B560A2">
              <w:rPr>
                <w:rFonts w:cs="Arial"/>
                <w:szCs w:val="18"/>
                <w:lang w:eastAsia="pt-BR"/>
              </w:rPr>
              <w:t>4.20 (easy flow)</w:t>
            </w:r>
          </w:p>
        </w:tc>
        <w:tc>
          <w:tcPr>
            <w:tcW w:w="1440" w:type="dxa"/>
            <w:tcBorders>
              <w:top w:val="nil"/>
              <w:left w:val="nil"/>
              <w:bottom w:val="nil"/>
              <w:right w:val="nil"/>
            </w:tcBorders>
            <w:shd w:val="clear" w:color="auto" w:fill="FFFFFF"/>
            <w:vAlign w:val="center"/>
          </w:tcPr>
          <w:p w14:paraId="24D26FCC" w14:textId="77777777" w:rsidR="00E3794D" w:rsidRDefault="00E3794D" w:rsidP="004500DF">
            <w:pPr>
              <w:pStyle w:val="CETBodytext"/>
              <w:ind w:right="-1"/>
              <w:jc w:val="center"/>
              <w:rPr>
                <w:rFonts w:cs="Arial"/>
                <w:szCs w:val="18"/>
                <w:lang w:val="en-GB"/>
              </w:rPr>
            </w:pPr>
            <w:r w:rsidRPr="00B560A2">
              <w:rPr>
                <w:rFonts w:cs="Arial"/>
                <w:szCs w:val="18"/>
                <w:lang w:eastAsia="pt-BR"/>
              </w:rPr>
              <w:t>4.25</w:t>
            </w:r>
            <w:r>
              <w:rPr>
                <w:rFonts w:cs="Arial"/>
                <w:szCs w:val="18"/>
                <w:lang w:eastAsia="pt-BR"/>
              </w:rPr>
              <w:t xml:space="preserve"> </w:t>
            </w:r>
            <w:r w:rsidRPr="00B560A2">
              <w:rPr>
                <w:rFonts w:cs="Arial"/>
                <w:szCs w:val="18"/>
                <w:lang w:eastAsia="pt-BR"/>
              </w:rPr>
              <w:t>(easy flow)</w:t>
            </w:r>
          </w:p>
        </w:tc>
      </w:tr>
      <w:tr w:rsidR="00E3794D" w14:paraId="692A4113" w14:textId="77777777" w:rsidTr="004500DF">
        <w:tc>
          <w:tcPr>
            <w:tcW w:w="1800" w:type="dxa"/>
            <w:tcBorders>
              <w:top w:val="nil"/>
              <w:left w:val="nil"/>
              <w:bottom w:val="single" w:sz="12" w:space="0" w:color="008000"/>
              <w:right w:val="nil"/>
            </w:tcBorders>
            <w:shd w:val="clear" w:color="auto" w:fill="FFFFFF"/>
            <w:vAlign w:val="center"/>
          </w:tcPr>
          <w:p w14:paraId="7EBDE7B5" w14:textId="77777777" w:rsidR="00E3794D" w:rsidRDefault="00E3794D" w:rsidP="004500DF">
            <w:pPr>
              <w:pStyle w:val="CETBodytext"/>
              <w:ind w:right="-1"/>
              <w:rPr>
                <w:rFonts w:cs="Arial"/>
                <w:szCs w:val="18"/>
                <w:lang w:val="en-GB"/>
              </w:rPr>
            </w:pPr>
            <w:r w:rsidRPr="00B560A2">
              <w:rPr>
                <w:rFonts w:cs="Arial"/>
                <w:szCs w:val="18"/>
                <w:lang w:eastAsia="pt-BR"/>
              </w:rPr>
              <w:t>Bulk density (kg/m</w:t>
            </w:r>
            <w:r w:rsidRPr="00B560A2">
              <w:rPr>
                <w:rFonts w:cs="Arial"/>
                <w:szCs w:val="18"/>
                <w:vertAlign w:val="superscript"/>
                <w:lang w:eastAsia="pt-BR"/>
              </w:rPr>
              <w:t>3</w:t>
            </w:r>
            <w:r w:rsidRPr="00B560A2">
              <w:rPr>
                <w:rFonts w:cs="Arial"/>
                <w:szCs w:val="18"/>
                <w:lang w:eastAsia="pt-BR"/>
              </w:rPr>
              <w:t>)</w:t>
            </w:r>
          </w:p>
        </w:tc>
        <w:tc>
          <w:tcPr>
            <w:tcW w:w="1890" w:type="dxa"/>
            <w:tcBorders>
              <w:top w:val="nil"/>
              <w:left w:val="nil"/>
              <w:bottom w:val="single" w:sz="12" w:space="0" w:color="008000"/>
              <w:right w:val="nil"/>
            </w:tcBorders>
            <w:shd w:val="clear" w:color="auto" w:fill="FFFFFF"/>
            <w:vAlign w:val="center"/>
          </w:tcPr>
          <w:p w14:paraId="566F1898" w14:textId="77777777" w:rsidR="00E3794D" w:rsidRDefault="00E3794D" w:rsidP="004500DF">
            <w:pPr>
              <w:pStyle w:val="CETBodytext"/>
              <w:ind w:right="-1"/>
              <w:jc w:val="center"/>
              <w:rPr>
                <w:rFonts w:cs="Arial"/>
                <w:szCs w:val="18"/>
                <w:lang w:val="en-GB"/>
              </w:rPr>
            </w:pPr>
            <w:r w:rsidRPr="00B560A2">
              <w:rPr>
                <w:rFonts w:cs="Arial"/>
                <w:szCs w:val="18"/>
                <w:lang w:eastAsia="pt-BR"/>
              </w:rPr>
              <w:t>621.9</w:t>
            </w:r>
          </w:p>
        </w:tc>
        <w:tc>
          <w:tcPr>
            <w:tcW w:w="1530" w:type="dxa"/>
            <w:tcBorders>
              <w:top w:val="nil"/>
              <w:left w:val="nil"/>
              <w:bottom w:val="single" w:sz="12" w:space="0" w:color="008000"/>
              <w:right w:val="nil"/>
            </w:tcBorders>
            <w:shd w:val="clear" w:color="auto" w:fill="FFFFFF"/>
            <w:vAlign w:val="center"/>
          </w:tcPr>
          <w:p w14:paraId="7F0F5336" w14:textId="77777777" w:rsidR="00E3794D" w:rsidRDefault="00E3794D" w:rsidP="004500DF">
            <w:pPr>
              <w:pStyle w:val="CETBodytext"/>
              <w:ind w:right="-1"/>
              <w:jc w:val="center"/>
              <w:rPr>
                <w:rFonts w:cs="Arial"/>
                <w:szCs w:val="18"/>
                <w:lang w:val="en-GB"/>
              </w:rPr>
            </w:pPr>
            <w:r w:rsidRPr="00B560A2">
              <w:rPr>
                <w:rFonts w:cs="Arial"/>
                <w:szCs w:val="18"/>
                <w:lang w:eastAsia="pt-BR"/>
              </w:rPr>
              <w:t>585.5</w:t>
            </w:r>
          </w:p>
        </w:tc>
        <w:tc>
          <w:tcPr>
            <w:tcW w:w="1620" w:type="dxa"/>
            <w:tcBorders>
              <w:top w:val="nil"/>
              <w:left w:val="nil"/>
              <w:bottom w:val="single" w:sz="12" w:space="0" w:color="008000"/>
              <w:right w:val="nil"/>
            </w:tcBorders>
            <w:shd w:val="clear" w:color="auto" w:fill="FFFFFF"/>
            <w:vAlign w:val="center"/>
          </w:tcPr>
          <w:p w14:paraId="09F83036" w14:textId="77777777" w:rsidR="00E3794D" w:rsidRDefault="00E3794D" w:rsidP="004500DF">
            <w:pPr>
              <w:pStyle w:val="CETBodytext"/>
              <w:ind w:right="-1"/>
              <w:jc w:val="center"/>
              <w:rPr>
                <w:rFonts w:cs="Arial"/>
                <w:szCs w:val="18"/>
                <w:lang w:val="en-GB"/>
              </w:rPr>
            </w:pPr>
            <w:r w:rsidRPr="00B560A2">
              <w:rPr>
                <w:rFonts w:cs="Arial"/>
                <w:szCs w:val="18"/>
                <w:lang w:eastAsia="pt-BR"/>
              </w:rPr>
              <w:t>663.5</w:t>
            </w:r>
          </w:p>
        </w:tc>
        <w:tc>
          <w:tcPr>
            <w:tcW w:w="1440" w:type="dxa"/>
            <w:tcBorders>
              <w:top w:val="nil"/>
              <w:left w:val="nil"/>
              <w:bottom w:val="single" w:sz="12" w:space="0" w:color="008000"/>
              <w:right w:val="nil"/>
            </w:tcBorders>
            <w:shd w:val="clear" w:color="auto" w:fill="FFFFFF"/>
            <w:vAlign w:val="center"/>
          </w:tcPr>
          <w:p w14:paraId="115E492F" w14:textId="77777777" w:rsidR="00E3794D" w:rsidRDefault="00E3794D" w:rsidP="004500DF">
            <w:pPr>
              <w:pStyle w:val="CETBodytext"/>
              <w:ind w:right="-1"/>
              <w:jc w:val="center"/>
              <w:rPr>
                <w:rFonts w:cs="Arial"/>
                <w:szCs w:val="18"/>
                <w:lang w:val="en-GB"/>
              </w:rPr>
            </w:pPr>
            <w:r w:rsidRPr="00B560A2">
              <w:rPr>
                <w:rFonts w:cs="Arial"/>
                <w:szCs w:val="18"/>
                <w:lang w:eastAsia="pt-BR"/>
              </w:rPr>
              <w:t>619.3</w:t>
            </w:r>
          </w:p>
        </w:tc>
      </w:tr>
    </w:tbl>
    <w:p w14:paraId="150F6E2A" w14:textId="77777777" w:rsidR="00E3794D" w:rsidRPr="00551F8C" w:rsidRDefault="00E3794D" w:rsidP="00E3794D">
      <w:pPr>
        <w:pStyle w:val="Recuodecorpodetexto"/>
        <w:spacing w:after="0"/>
        <w:ind w:left="0" w:right="565"/>
        <w:rPr>
          <w:i/>
          <w:iCs/>
          <w:color w:val="000000"/>
          <w:szCs w:val="18"/>
          <w:lang w:val="en-US"/>
        </w:rPr>
      </w:pPr>
      <w:r w:rsidRPr="00551F8C">
        <w:rPr>
          <w:i/>
          <w:iCs/>
          <w:color w:val="000000"/>
          <w:szCs w:val="18"/>
          <w:lang w:val="en-US"/>
        </w:rPr>
        <w:t>Results as mean of three repetitions ± standard deviation.  Different letters following the mean, in the lines, indicate significant difference in Tukey´s test (p &lt; 0.05).</w:t>
      </w:r>
    </w:p>
    <w:p w14:paraId="0C020931" w14:textId="77777777" w:rsidR="00E3794D" w:rsidRDefault="00E3794D" w:rsidP="00E3794D">
      <w:pPr>
        <w:pStyle w:val="Recuodecorpodetexto"/>
        <w:spacing w:before="240" w:after="0"/>
        <w:ind w:left="0"/>
        <w:rPr>
          <w:rFonts w:cs="Arial"/>
          <w:color w:val="000000" w:themeColor="text1"/>
          <w:lang w:val="en-US"/>
        </w:rPr>
      </w:pPr>
      <w:r w:rsidRPr="00C83984">
        <w:rPr>
          <w:rFonts w:cs="Arial"/>
          <w:color w:val="000000" w:themeColor="text1"/>
          <w:lang w:val="en-US"/>
        </w:rPr>
        <w:t>The color of the powdered tamarind pulp was slightly lighter in the case of treatments with added anticaking agent, with parameter L* between 67.92 and 70.79. Cavalcante et al., (2018) stated that a high value of L* is a positive aspect of drying conditions, because this indicates that there was no browning of the powder. In relation to the present study involving tamarind powder, this observation is only valid for treatments without CaCO</w:t>
      </w:r>
      <w:r w:rsidRPr="00784CBA">
        <w:rPr>
          <w:rFonts w:cs="Arial"/>
          <w:color w:val="000000" w:themeColor="text1"/>
          <w:vertAlign w:val="subscript"/>
          <w:lang w:val="en-US"/>
        </w:rPr>
        <w:t>3</w:t>
      </w:r>
      <w:r w:rsidRPr="00C83984">
        <w:rPr>
          <w:rFonts w:cs="Arial"/>
          <w:color w:val="000000" w:themeColor="text1"/>
          <w:lang w:val="en-US"/>
        </w:rPr>
        <w:t xml:space="preserve"> addition, since the additive has a white color and can influence L* values. </w:t>
      </w:r>
    </w:p>
    <w:p w14:paraId="45275EAA" w14:textId="77777777" w:rsidR="00E3794D" w:rsidRDefault="00E3794D" w:rsidP="00E3794D">
      <w:pPr>
        <w:pStyle w:val="Recuodecorpodetexto"/>
        <w:spacing w:after="0"/>
        <w:ind w:left="0"/>
        <w:rPr>
          <w:rFonts w:cs="Arial"/>
          <w:color w:val="000000" w:themeColor="text1"/>
          <w:lang w:val="en-US"/>
        </w:rPr>
      </w:pPr>
      <w:r w:rsidRPr="00C83984">
        <w:rPr>
          <w:rFonts w:cs="Arial"/>
          <w:color w:val="000000" w:themeColor="text1"/>
          <w:lang w:val="en-US"/>
        </w:rPr>
        <w:t xml:space="preserve">The addition of the anticaking agent contributed to the flowability of the </w:t>
      </w:r>
      <w:r>
        <w:rPr>
          <w:rFonts w:cs="Arial"/>
          <w:color w:val="000000" w:themeColor="text1"/>
          <w:lang w:val="en-US"/>
        </w:rPr>
        <w:t xml:space="preserve">tamarind </w:t>
      </w:r>
      <w:r w:rsidRPr="00C83984">
        <w:rPr>
          <w:rFonts w:cs="Arial"/>
          <w:color w:val="000000" w:themeColor="text1"/>
          <w:lang w:val="en-US"/>
        </w:rPr>
        <w:t xml:space="preserve">powder. </w:t>
      </w:r>
      <w:r>
        <w:rPr>
          <w:rFonts w:cs="Arial"/>
          <w:color w:val="000000" w:themeColor="text1"/>
          <w:lang w:val="en-US"/>
        </w:rPr>
        <w:t>T</w:t>
      </w:r>
      <w:r w:rsidRPr="00C83984">
        <w:rPr>
          <w:rFonts w:cs="Arial"/>
          <w:color w:val="000000" w:themeColor="text1"/>
          <w:lang w:val="en-US"/>
        </w:rPr>
        <w:t>he flow index resulting from the treatments with CaCO</w:t>
      </w:r>
      <w:r w:rsidRPr="00784CBA">
        <w:rPr>
          <w:rFonts w:cs="Arial"/>
          <w:color w:val="000000" w:themeColor="text1"/>
          <w:vertAlign w:val="subscript"/>
          <w:lang w:val="en-US"/>
        </w:rPr>
        <w:t>3</w:t>
      </w:r>
      <w:r w:rsidRPr="00C83984">
        <w:rPr>
          <w:rFonts w:cs="Arial"/>
          <w:color w:val="000000" w:themeColor="text1"/>
          <w:lang w:val="en-US"/>
        </w:rPr>
        <w:t xml:space="preserve"> (C + CaCO</w:t>
      </w:r>
      <w:r w:rsidRPr="00784CBA">
        <w:rPr>
          <w:rFonts w:cs="Arial"/>
          <w:color w:val="000000" w:themeColor="text1"/>
          <w:vertAlign w:val="subscript"/>
          <w:lang w:val="en-US"/>
        </w:rPr>
        <w:t>3</w:t>
      </w:r>
      <w:r w:rsidRPr="00C83984">
        <w:rPr>
          <w:rFonts w:cs="Arial"/>
          <w:color w:val="000000" w:themeColor="text1"/>
          <w:lang w:val="en-US"/>
        </w:rPr>
        <w:t xml:space="preserve"> and N + CaCO</w:t>
      </w:r>
      <w:r w:rsidRPr="00784CBA">
        <w:rPr>
          <w:rFonts w:cs="Arial"/>
          <w:color w:val="000000" w:themeColor="text1"/>
          <w:vertAlign w:val="subscript"/>
          <w:lang w:val="en-US"/>
        </w:rPr>
        <w:t>3</w:t>
      </w:r>
      <w:r w:rsidRPr="00C83984">
        <w:rPr>
          <w:rFonts w:cs="Arial"/>
          <w:color w:val="000000" w:themeColor="text1"/>
          <w:lang w:val="en-US"/>
        </w:rPr>
        <w:t>) exhibited easy flow. The neutralized pulp powder presented a cohesive flow behavior (2.24 ffc), and the control treatment resulted in a “very cohesive” powder.</w:t>
      </w:r>
    </w:p>
    <w:p w14:paraId="206FB263" w14:textId="77777777" w:rsidR="00E3794D" w:rsidRDefault="00E3794D" w:rsidP="00E3794D">
      <w:pPr>
        <w:pStyle w:val="Recuodecorpodetexto"/>
        <w:spacing w:after="0"/>
        <w:ind w:left="0"/>
        <w:rPr>
          <w:rFonts w:cs="Arial"/>
          <w:color w:val="000000" w:themeColor="text1"/>
          <w:lang w:val="en-US"/>
        </w:rPr>
      </w:pPr>
      <w:r w:rsidRPr="00C83984">
        <w:rPr>
          <w:rFonts w:cs="Arial"/>
          <w:color w:val="000000" w:themeColor="text1"/>
          <w:lang w:val="en-US"/>
        </w:rPr>
        <w:t>Powders that have a very cohesive flow exhibit difficult flowability and are highly susceptible to agglomeration. Therefore, flow problems and flow interruptions may imply a decrease in the efficiency of the processes in which they are inv</w:t>
      </w:r>
      <w:r>
        <w:rPr>
          <w:rFonts w:cs="Arial"/>
          <w:color w:val="000000" w:themeColor="text1"/>
          <w:lang w:val="en-US"/>
        </w:rPr>
        <w:t>olved, such as storage in silos</w:t>
      </w:r>
      <w:r w:rsidRPr="00C83984">
        <w:rPr>
          <w:rFonts w:cs="Arial"/>
          <w:color w:val="000000" w:themeColor="text1"/>
          <w:lang w:val="en-US"/>
        </w:rPr>
        <w:t>, or even flow in packages when opened, at first use.</w:t>
      </w:r>
    </w:p>
    <w:p w14:paraId="781B5634" w14:textId="77777777" w:rsidR="00E3794D" w:rsidRDefault="00E3794D" w:rsidP="00E3794D">
      <w:pPr>
        <w:pStyle w:val="Recuodecorpodetexto"/>
        <w:spacing w:after="0"/>
        <w:ind w:left="0"/>
        <w:rPr>
          <w:rFonts w:cs="Arial"/>
          <w:color w:val="000000" w:themeColor="text1"/>
          <w:lang w:val="en-US"/>
        </w:rPr>
      </w:pPr>
      <w:r w:rsidRPr="00C83984">
        <w:rPr>
          <w:rFonts w:cs="Arial"/>
          <w:color w:val="000000" w:themeColor="text1"/>
          <w:lang w:val="en-US"/>
        </w:rPr>
        <w:t xml:space="preserve">The </w:t>
      </w:r>
      <w:r>
        <w:rPr>
          <w:rFonts w:cs="Arial"/>
          <w:color w:val="000000" w:themeColor="text1"/>
          <w:lang w:val="en-US"/>
        </w:rPr>
        <w:t xml:space="preserve">lower </w:t>
      </w:r>
      <w:r w:rsidRPr="00C83984">
        <w:rPr>
          <w:rFonts w:cs="Arial"/>
          <w:color w:val="000000" w:themeColor="text1"/>
          <w:lang w:val="en-US"/>
        </w:rPr>
        <w:t xml:space="preserve">bulk density </w:t>
      </w:r>
      <w:r>
        <w:rPr>
          <w:rFonts w:cs="Arial"/>
          <w:color w:val="000000" w:themeColor="text1"/>
          <w:lang w:val="en-US"/>
        </w:rPr>
        <w:t>value of</w:t>
      </w:r>
      <w:r w:rsidRPr="00C83984">
        <w:rPr>
          <w:rFonts w:cs="Arial"/>
          <w:color w:val="000000" w:themeColor="text1"/>
          <w:lang w:val="en-US"/>
        </w:rPr>
        <w:t xml:space="preserve"> </w:t>
      </w:r>
      <w:r>
        <w:rPr>
          <w:rFonts w:cs="Arial"/>
          <w:color w:val="000000" w:themeColor="text1"/>
          <w:lang w:val="en-US"/>
        </w:rPr>
        <w:t>N</w:t>
      </w:r>
      <w:r w:rsidRPr="00C83984">
        <w:rPr>
          <w:rFonts w:cs="Arial"/>
          <w:color w:val="000000" w:themeColor="text1"/>
          <w:lang w:val="en-US"/>
        </w:rPr>
        <w:t>eutralized tamarind</w:t>
      </w:r>
      <w:r>
        <w:rPr>
          <w:rFonts w:cs="Arial"/>
          <w:color w:val="000000" w:themeColor="text1"/>
          <w:lang w:val="en-US"/>
        </w:rPr>
        <w:t xml:space="preserve"> powder, when compared to Control treatment, indicates</w:t>
      </w:r>
      <w:r w:rsidRPr="00C83984">
        <w:rPr>
          <w:rFonts w:cs="Arial"/>
          <w:color w:val="000000" w:themeColor="text1"/>
          <w:lang w:val="en-US"/>
        </w:rPr>
        <w:t xml:space="preserve"> greater porosity</w:t>
      </w:r>
      <w:r>
        <w:rPr>
          <w:rFonts w:cs="Arial"/>
          <w:color w:val="000000" w:themeColor="text1"/>
          <w:lang w:val="en-US"/>
        </w:rPr>
        <w:t>. In addition, the use</w:t>
      </w:r>
      <w:r w:rsidRPr="00C83984">
        <w:rPr>
          <w:rFonts w:cs="Arial"/>
          <w:color w:val="000000" w:themeColor="text1"/>
          <w:lang w:val="en-US"/>
        </w:rPr>
        <w:t xml:space="preserve"> of CaCO</w:t>
      </w:r>
      <w:r w:rsidRPr="00784CBA">
        <w:rPr>
          <w:rFonts w:cs="Arial"/>
          <w:color w:val="000000" w:themeColor="text1"/>
          <w:vertAlign w:val="subscript"/>
          <w:lang w:val="en-US"/>
        </w:rPr>
        <w:t>3</w:t>
      </w:r>
      <w:r w:rsidRPr="00C83984">
        <w:rPr>
          <w:rFonts w:cs="Arial"/>
          <w:color w:val="000000" w:themeColor="text1"/>
          <w:lang w:val="en-US"/>
        </w:rPr>
        <w:t xml:space="preserve"> increased bulk density. This </w:t>
      </w:r>
      <w:r>
        <w:rPr>
          <w:rFonts w:cs="Arial"/>
          <w:color w:val="000000" w:themeColor="text1"/>
          <w:lang w:val="en-US"/>
        </w:rPr>
        <w:t>can be</w:t>
      </w:r>
      <w:r w:rsidRPr="00C83984">
        <w:rPr>
          <w:rFonts w:cs="Arial"/>
          <w:color w:val="000000" w:themeColor="text1"/>
          <w:lang w:val="en-US"/>
        </w:rPr>
        <w:t xml:space="preserve"> related to the size and porosity of the powder particles</w:t>
      </w:r>
      <w:r>
        <w:rPr>
          <w:rFonts w:cs="Arial"/>
          <w:color w:val="000000" w:themeColor="text1"/>
          <w:lang w:val="en-US"/>
        </w:rPr>
        <w:t>, as p</w:t>
      </w:r>
      <w:r w:rsidRPr="00C83984">
        <w:rPr>
          <w:rFonts w:cs="Arial"/>
          <w:color w:val="000000" w:themeColor="text1"/>
          <w:lang w:val="en-US"/>
        </w:rPr>
        <w:t>articles with higher porosity have lower bulk density (Cavalcante et al., 2018).</w:t>
      </w:r>
      <w:r>
        <w:rPr>
          <w:rFonts w:cs="Arial"/>
          <w:color w:val="000000" w:themeColor="text1"/>
          <w:lang w:val="en-US"/>
        </w:rPr>
        <w:t xml:space="preserve"> </w:t>
      </w:r>
      <w:r w:rsidRPr="00C83984">
        <w:rPr>
          <w:rFonts w:cs="Arial"/>
          <w:color w:val="000000" w:themeColor="text1"/>
          <w:lang w:val="en-US"/>
        </w:rPr>
        <w:t xml:space="preserve">The solubility, hygroscopicity, and </w:t>
      </w:r>
      <w:r>
        <w:rPr>
          <w:rFonts w:cs="Arial"/>
          <w:color w:val="000000" w:themeColor="text1"/>
          <w:lang w:val="en-US"/>
        </w:rPr>
        <w:t xml:space="preserve">caking </w:t>
      </w:r>
      <w:r w:rsidRPr="00C83984">
        <w:rPr>
          <w:rFonts w:cs="Arial"/>
          <w:color w:val="000000" w:themeColor="text1"/>
          <w:lang w:val="en-US"/>
        </w:rPr>
        <w:t xml:space="preserve">degree data </w:t>
      </w:r>
      <w:r>
        <w:rPr>
          <w:rFonts w:cs="Arial"/>
          <w:color w:val="000000" w:themeColor="text1"/>
          <w:lang w:val="en-US"/>
        </w:rPr>
        <w:t>is</w:t>
      </w:r>
      <w:r w:rsidRPr="00C83984">
        <w:rPr>
          <w:rFonts w:cs="Arial"/>
          <w:color w:val="000000" w:themeColor="text1"/>
          <w:lang w:val="en-US"/>
        </w:rPr>
        <w:t xml:space="preserve"> presented in Table </w:t>
      </w:r>
      <w:r>
        <w:rPr>
          <w:rFonts w:cs="Arial"/>
          <w:color w:val="000000" w:themeColor="text1"/>
          <w:lang w:val="en-US"/>
        </w:rPr>
        <w:t>2</w:t>
      </w:r>
      <w:r w:rsidRPr="00C83984">
        <w:rPr>
          <w:rFonts w:cs="Arial"/>
          <w:color w:val="000000" w:themeColor="text1"/>
          <w:lang w:val="en-US"/>
        </w:rPr>
        <w:t>.</w:t>
      </w:r>
    </w:p>
    <w:p w14:paraId="2E194B04" w14:textId="7E016ED4" w:rsidR="00E3794D" w:rsidRDefault="00E3794D" w:rsidP="00E3794D">
      <w:pPr>
        <w:pStyle w:val="Recuodecorpodetexto"/>
        <w:spacing w:after="0"/>
        <w:ind w:left="0"/>
        <w:rPr>
          <w:rFonts w:cs="Arial"/>
          <w:color w:val="000000" w:themeColor="text1"/>
          <w:lang w:val="en-US"/>
        </w:rPr>
      </w:pPr>
      <w:r w:rsidRPr="00C83984">
        <w:rPr>
          <w:rFonts w:cs="Arial"/>
          <w:color w:val="000000" w:themeColor="text1"/>
          <w:lang w:val="en-US"/>
        </w:rPr>
        <w:t>The solubility of a powder can be associated with moisture content, as this decreases as powder solubility increases (Muzaffar, Kumar, 2016). Thus, if the moisture content of the tamarind pulp powder is low, its solubility may be considered high.</w:t>
      </w:r>
    </w:p>
    <w:p w14:paraId="1B5FA2A2" w14:textId="77777777" w:rsidR="00E3794D" w:rsidRPr="00506388" w:rsidRDefault="00E3794D" w:rsidP="00E3794D">
      <w:pPr>
        <w:pStyle w:val="CETTabletitle"/>
        <w:ind w:right="282"/>
      </w:pPr>
      <w:r w:rsidRPr="00B57B36">
        <w:lastRenderedPageBreak/>
        <w:t xml:space="preserve">Table </w:t>
      </w:r>
      <w:r>
        <w:t>2</w:t>
      </w:r>
      <w:r w:rsidRPr="00B57B36">
        <w:t xml:space="preserve">: </w:t>
      </w:r>
      <w:r w:rsidRPr="0098185C">
        <w:rPr>
          <w:color w:val="000000" w:themeColor="text1"/>
          <w:lang w:val="en-US"/>
        </w:rPr>
        <w:t xml:space="preserve">Hygroscopic parameters of tamarind pulp powder (dry base) obtained by </w:t>
      </w:r>
      <w:r>
        <w:rPr>
          <w:color w:val="000000" w:themeColor="text1"/>
          <w:lang w:val="en-US"/>
        </w:rPr>
        <w:t>freeze-drying</w:t>
      </w:r>
      <w:r w:rsidRPr="0098185C">
        <w:rPr>
          <w:color w:val="000000" w:themeColor="text1"/>
          <w:lang w:val="en-US"/>
        </w:rPr>
        <w:t xml:space="preserve"> with and without the addition of CaCO</w:t>
      </w:r>
      <w:r w:rsidRPr="00784CBA">
        <w:rPr>
          <w:color w:val="000000" w:themeColor="text1"/>
          <w:vertAlign w:val="subscript"/>
          <w:lang w:val="en-US"/>
        </w:rPr>
        <w:t>3</w:t>
      </w:r>
      <w:r w:rsidRPr="0098185C">
        <w:rPr>
          <w:color w:val="000000" w:themeColor="text1"/>
          <w:lang w:val="en-US"/>
        </w:rPr>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340"/>
        <w:gridCol w:w="1620"/>
        <w:gridCol w:w="1710"/>
        <w:gridCol w:w="1418"/>
        <w:gridCol w:w="1417"/>
      </w:tblGrid>
      <w:tr w:rsidR="00E3794D" w14:paraId="68D9D4AF" w14:textId="77777777" w:rsidTr="004500DF">
        <w:tc>
          <w:tcPr>
            <w:tcW w:w="2340" w:type="dxa"/>
            <w:vMerge w:val="restart"/>
            <w:tcBorders>
              <w:top w:val="single" w:sz="12" w:space="0" w:color="008000"/>
              <w:left w:val="nil"/>
              <w:right w:val="nil"/>
            </w:tcBorders>
            <w:shd w:val="clear" w:color="auto" w:fill="FFFFFF"/>
          </w:tcPr>
          <w:p w14:paraId="3EEEF3F3" w14:textId="77777777" w:rsidR="00E3794D" w:rsidRPr="00B560A2" w:rsidRDefault="00E3794D" w:rsidP="004500DF">
            <w:pPr>
              <w:pStyle w:val="CETBodytext"/>
              <w:rPr>
                <w:rFonts w:cs="Arial"/>
                <w:szCs w:val="18"/>
                <w:lang w:eastAsia="pt-BR"/>
              </w:rPr>
            </w:pPr>
            <w:r w:rsidRPr="00B560A2">
              <w:rPr>
                <w:rFonts w:cs="Arial"/>
                <w:szCs w:val="18"/>
                <w:lang w:eastAsia="pt-BR"/>
              </w:rPr>
              <w:t>Parameter</w:t>
            </w:r>
          </w:p>
        </w:tc>
        <w:tc>
          <w:tcPr>
            <w:tcW w:w="6165" w:type="dxa"/>
            <w:gridSpan w:val="4"/>
            <w:tcBorders>
              <w:top w:val="single" w:sz="12" w:space="0" w:color="008000"/>
              <w:left w:val="nil"/>
              <w:bottom w:val="single" w:sz="6" w:space="0" w:color="008000"/>
              <w:right w:val="nil"/>
            </w:tcBorders>
            <w:shd w:val="clear" w:color="auto" w:fill="FFFFFF"/>
          </w:tcPr>
          <w:p w14:paraId="7011759C" w14:textId="77777777" w:rsidR="00E3794D" w:rsidRDefault="00E3794D" w:rsidP="004500DF">
            <w:pPr>
              <w:pStyle w:val="CETBodytext"/>
              <w:ind w:right="-1"/>
              <w:jc w:val="center"/>
              <w:rPr>
                <w:rFonts w:cs="Arial"/>
                <w:szCs w:val="18"/>
                <w:lang w:val="en-GB"/>
              </w:rPr>
            </w:pPr>
            <w:r w:rsidRPr="00B560A2">
              <w:rPr>
                <w:rFonts w:cs="Arial"/>
                <w:color w:val="000000" w:themeColor="text1"/>
                <w:szCs w:val="18"/>
              </w:rPr>
              <w:t>Tamarind pulp powder</w:t>
            </w:r>
          </w:p>
        </w:tc>
      </w:tr>
      <w:tr w:rsidR="00E3794D" w14:paraId="74223ED7" w14:textId="77777777" w:rsidTr="004500DF">
        <w:tc>
          <w:tcPr>
            <w:tcW w:w="2340" w:type="dxa"/>
            <w:vMerge/>
            <w:tcBorders>
              <w:left w:val="nil"/>
              <w:bottom w:val="single" w:sz="6" w:space="0" w:color="008000"/>
              <w:right w:val="nil"/>
            </w:tcBorders>
            <w:shd w:val="clear" w:color="auto" w:fill="FFFFFF"/>
            <w:hideMark/>
          </w:tcPr>
          <w:p w14:paraId="07C136E3" w14:textId="77777777" w:rsidR="00E3794D" w:rsidRDefault="00E3794D" w:rsidP="004500DF">
            <w:pPr>
              <w:pStyle w:val="CETBodytext"/>
              <w:rPr>
                <w:lang w:val="en-GB"/>
              </w:rPr>
            </w:pPr>
          </w:p>
        </w:tc>
        <w:tc>
          <w:tcPr>
            <w:tcW w:w="1620" w:type="dxa"/>
            <w:tcBorders>
              <w:top w:val="single" w:sz="12" w:space="0" w:color="008000"/>
              <w:left w:val="nil"/>
              <w:bottom w:val="single" w:sz="6" w:space="0" w:color="008000"/>
              <w:right w:val="nil"/>
            </w:tcBorders>
            <w:shd w:val="clear" w:color="auto" w:fill="FFFFFF"/>
            <w:hideMark/>
          </w:tcPr>
          <w:p w14:paraId="1A6358DE" w14:textId="77777777" w:rsidR="00E3794D" w:rsidRDefault="00E3794D" w:rsidP="004500DF">
            <w:pPr>
              <w:pStyle w:val="CETBodytext"/>
              <w:jc w:val="center"/>
              <w:rPr>
                <w:lang w:val="en-GB"/>
              </w:rPr>
            </w:pPr>
            <w:r w:rsidRPr="00B560A2">
              <w:rPr>
                <w:rFonts w:cs="Arial"/>
                <w:color w:val="000000" w:themeColor="text1"/>
                <w:szCs w:val="18"/>
              </w:rPr>
              <w:t>C (pH 2.5)</w:t>
            </w:r>
          </w:p>
        </w:tc>
        <w:tc>
          <w:tcPr>
            <w:tcW w:w="1710" w:type="dxa"/>
            <w:tcBorders>
              <w:top w:val="single" w:sz="12" w:space="0" w:color="008000"/>
              <w:left w:val="nil"/>
              <w:bottom w:val="single" w:sz="6" w:space="0" w:color="008000"/>
              <w:right w:val="nil"/>
            </w:tcBorders>
            <w:shd w:val="clear" w:color="auto" w:fill="FFFFFF"/>
            <w:hideMark/>
          </w:tcPr>
          <w:p w14:paraId="7054EB2D" w14:textId="77777777" w:rsidR="00E3794D" w:rsidRDefault="00E3794D" w:rsidP="004500DF">
            <w:pPr>
              <w:pStyle w:val="CETBodytext"/>
              <w:jc w:val="center"/>
              <w:rPr>
                <w:lang w:val="en-GB"/>
              </w:rPr>
            </w:pPr>
            <w:r w:rsidRPr="00B560A2">
              <w:rPr>
                <w:rFonts w:cs="Arial"/>
                <w:color w:val="000000" w:themeColor="text1"/>
                <w:szCs w:val="18"/>
              </w:rPr>
              <w:t>N (pH 3.5)</w:t>
            </w:r>
          </w:p>
        </w:tc>
        <w:tc>
          <w:tcPr>
            <w:tcW w:w="1418" w:type="dxa"/>
            <w:tcBorders>
              <w:top w:val="single" w:sz="12" w:space="0" w:color="008000"/>
              <w:left w:val="nil"/>
              <w:bottom w:val="single" w:sz="6" w:space="0" w:color="008000"/>
              <w:right w:val="nil"/>
            </w:tcBorders>
            <w:shd w:val="clear" w:color="auto" w:fill="FFFFFF"/>
          </w:tcPr>
          <w:p w14:paraId="04CF15D6" w14:textId="77777777" w:rsidR="00E3794D" w:rsidRDefault="00E3794D" w:rsidP="004500DF">
            <w:pPr>
              <w:pStyle w:val="CETBodytext"/>
              <w:ind w:right="-1"/>
              <w:jc w:val="center"/>
              <w:rPr>
                <w:rFonts w:cs="Arial"/>
                <w:szCs w:val="18"/>
                <w:lang w:val="en-GB"/>
              </w:rPr>
            </w:pPr>
            <w:r w:rsidRPr="00B560A2">
              <w:rPr>
                <w:rFonts w:cs="Arial"/>
                <w:color w:val="000000" w:themeColor="text1"/>
                <w:szCs w:val="18"/>
              </w:rPr>
              <w:t>C + CaCO</w:t>
            </w:r>
            <w:r w:rsidRPr="00B560A2">
              <w:rPr>
                <w:rFonts w:cs="Arial"/>
                <w:color w:val="000000" w:themeColor="text1"/>
                <w:szCs w:val="18"/>
                <w:vertAlign w:val="subscript"/>
              </w:rPr>
              <w:t>3</w:t>
            </w:r>
          </w:p>
        </w:tc>
        <w:tc>
          <w:tcPr>
            <w:tcW w:w="1417" w:type="dxa"/>
            <w:tcBorders>
              <w:top w:val="single" w:sz="12" w:space="0" w:color="008000"/>
              <w:left w:val="nil"/>
              <w:bottom w:val="single" w:sz="6" w:space="0" w:color="008000"/>
              <w:right w:val="nil"/>
            </w:tcBorders>
            <w:shd w:val="clear" w:color="auto" w:fill="FFFFFF"/>
          </w:tcPr>
          <w:p w14:paraId="17856938" w14:textId="77777777" w:rsidR="00E3794D" w:rsidRDefault="00E3794D" w:rsidP="004500DF">
            <w:pPr>
              <w:pStyle w:val="CETBodytext"/>
              <w:ind w:right="-1"/>
              <w:jc w:val="center"/>
              <w:rPr>
                <w:rFonts w:cs="Arial"/>
                <w:szCs w:val="18"/>
                <w:lang w:val="en-GB"/>
              </w:rPr>
            </w:pPr>
            <w:r w:rsidRPr="00B560A2">
              <w:rPr>
                <w:rFonts w:cs="Arial"/>
                <w:color w:val="000000" w:themeColor="text1"/>
                <w:szCs w:val="18"/>
              </w:rPr>
              <w:t>N + CaCO</w:t>
            </w:r>
            <w:r w:rsidRPr="00B560A2">
              <w:rPr>
                <w:rFonts w:cs="Arial"/>
                <w:color w:val="000000" w:themeColor="text1"/>
                <w:szCs w:val="18"/>
                <w:vertAlign w:val="subscript"/>
              </w:rPr>
              <w:t>3</w:t>
            </w:r>
          </w:p>
        </w:tc>
      </w:tr>
      <w:tr w:rsidR="00E3794D" w14:paraId="4780B44B" w14:textId="77777777" w:rsidTr="004500DF">
        <w:tc>
          <w:tcPr>
            <w:tcW w:w="2340" w:type="dxa"/>
            <w:tcBorders>
              <w:top w:val="nil"/>
              <w:left w:val="nil"/>
              <w:bottom w:val="nil"/>
              <w:right w:val="nil"/>
            </w:tcBorders>
            <w:shd w:val="clear" w:color="auto" w:fill="FFFFFF"/>
            <w:vAlign w:val="center"/>
            <w:hideMark/>
          </w:tcPr>
          <w:p w14:paraId="60D1B278" w14:textId="77777777" w:rsidR="00E3794D" w:rsidRDefault="00E3794D" w:rsidP="004500DF">
            <w:pPr>
              <w:pStyle w:val="CETBodytext"/>
              <w:rPr>
                <w:lang w:val="en-GB"/>
              </w:rPr>
            </w:pPr>
            <w:r w:rsidRPr="00B560A2">
              <w:rPr>
                <w:rFonts w:cs="Arial"/>
                <w:szCs w:val="18"/>
                <w:lang w:eastAsia="pt-BR"/>
              </w:rPr>
              <w:t>Solubility (%)</w:t>
            </w:r>
          </w:p>
        </w:tc>
        <w:tc>
          <w:tcPr>
            <w:tcW w:w="1620" w:type="dxa"/>
            <w:tcBorders>
              <w:top w:val="nil"/>
              <w:left w:val="nil"/>
              <w:bottom w:val="nil"/>
              <w:right w:val="nil"/>
            </w:tcBorders>
            <w:shd w:val="clear" w:color="auto" w:fill="FFFFFF"/>
            <w:vAlign w:val="center"/>
          </w:tcPr>
          <w:p w14:paraId="67B882E1" w14:textId="77777777" w:rsidR="00E3794D" w:rsidRDefault="00E3794D" w:rsidP="004500DF">
            <w:pPr>
              <w:pStyle w:val="CETBodytext"/>
              <w:jc w:val="center"/>
              <w:rPr>
                <w:lang w:val="en-GB"/>
              </w:rPr>
            </w:pPr>
            <w:r w:rsidRPr="00B560A2">
              <w:rPr>
                <w:rFonts w:cs="Arial"/>
                <w:szCs w:val="18"/>
              </w:rPr>
              <w:t>67.89 ± 0.41</w:t>
            </w:r>
            <w:r w:rsidRPr="00C2161B">
              <w:rPr>
                <w:rFonts w:cs="Arial"/>
                <w:color w:val="9BBB59" w:themeColor="accent3"/>
                <w:szCs w:val="18"/>
                <w:vertAlign w:val="superscript"/>
                <w:lang w:eastAsia="pt-BR"/>
              </w:rPr>
              <w:t xml:space="preserve"> a</w:t>
            </w:r>
          </w:p>
        </w:tc>
        <w:tc>
          <w:tcPr>
            <w:tcW w:w="1710" w:type="dxa"/>
            <w:tcBorders>
              <w:top w:val="nil"/>
              <w:left w:val="nil"/>
              <w:bottom w:val="nil"/>
              <w:right w:val="nil"/>
            </w:tcBorders>
            <w:shd w:val="clear" w:color="auto" w:fill="FFFFFF"/>
            <w:vAlign w:val="center"/>
          </w:tcPr>
          <w:p w14:paraId="2C81D10C" w14:textId="77777777" w:rsidR="00E3794D" w:rsidRDefault="00E3794D" w:rsidP="004500DF">
            <w:pPr>
              <w:pStyle w:val="CETBodytext"/>
              <w:jc w:val="center"/>
              <w:rPr>
                <w:lang w:val="en-GB"/>
              </w:rPr>
            </w:pPr>
            <w:r w:rsidRPr="00B560A2">
              <w:rPr>
                <w:rFonts w:cs="Arial"/>
                <w:szCs w:val="18"/>
              </w:rPr>
              <w:t>72.97 ± 1.20</w:t>
            </w:r>
            <w:r w:rsidRPr="00C2161B">
              <w:rPr>
                <w:rFonts w:cs="Arial"/>
                <w:color w:val="9BBB59" w:themeColor="accent3"/>
                <w:szCs w:val="18"/>
                <w:vertAlign w:val="superscript"/>
                <w:lang w:eastAsia="pt-BR"/>
              </w:rPr>
              <w:t xml:space="preserve"> </w:t>
            </w:r>
            <w:r>
              <w:rPr>
                <w:rFonts w:cs="Arial"/>
                <w:color w:val="9BBB59" w:themeColor="accent3"/>
                <w:szCs w:val="18"/>
                <w:vertAlign w:val="superscript"/>
                <w:lang w:eastAsia="pt-BR"/>
              </w:rPr>
              <w:t>b</w:t>
            </w:r>
          </w:p>
        </w:tc>
        <w:tc>
          <w:tcPr>
            <w:tcW w:w="1418" w:type="dxa"/>
            <w:tcBorders>
              <w:top w:val="nil"/>
              <w:left w:val="nil"/>
              <w:bottom w:val="nil"/>
              <w:right w:val="nil"/>
            </w:tcBorders>
            <w:shd w:val="clear" w:color="auto" w:fill="FFFFFF"/>
            <w:vAlign w:val="center"/>
          </w:tcPr>
          <w:p w14:paraId="0B3D9500" w14:textId="77777777" w:rsidR="00E3794D" w:rsidRDefault="00E3794D" w:rsidP="004500DF">
            <w:pPr>
              <w:pStyle w:val="CETBodytext"/>
              <w:ind w:right="-1"/>
              <w:jc w:val="center"/>
              <w:rPr>
                <w:rFonts w:cs="Arial"/>
                <w:szCs w:val="18"/>
                <w:lang w:val="en-GB"/>
              </w:rPr>
            </w:pPr>
            <w:r w:rsidRPr="00B560A2">
              <w:rPr>
                <w:rFonts w:cs="Arial"/>
                <w:szCs w:val="18"/>
              </w:rPr>
              <w:t>66.83 ± 1.77</w:t>
            </w:r>
            <w:r w:rsidRPr="00C2161B">
              <w:rPr>
                <w:rFonts w:cs="Arial"/>
                <w:color w:val="9BBB59" w:themeColor="accent3"/>
                <w:szCs w:val="18"/>
                <w:vertAlign w:val="superscript"/>
                <w:lang w:eastAsia="pt-BR"/>
              </w:rPr>
              <w:t xml:space="preserve"> a</w:t>
            </w:r>
          </w:p>
        </w:tc>
        <w:tc>
          <w:tcPr>
            <w:tcW w:w="1417" w:type="dxa"/>
            <w:tcBorders>
              <w:top w:val="nil"/>
              <w:left w:val="nil"/>
              <w:bottom w:val="nil"/>
              <w:right w:val="nil"/>
            </w:tcBorders>
            <w:shd w:val="clear" w:color="auto" w:fill="FFFFFF"/>
            <w:vAlign w:val="center"/>
          </w:tcPr>
          <w:p w14:paraId="5489DA18" w14:textId="77777777" w:rsidR="00E3794D" w:rsidRDefault="00E3794D" w:rsidP="004500DF">
            <w:pPr>
              <w:pStyle w:val="CETBodytext"/>
              <w:ind w:right="-1"/>
              <w:jc w:val="center"/>
              <w:rPr>
                <w:rFonts w:cs="Arial"/>
                <w:szCs w:val="18"/>
                <w:lang w:val="en-GB"/>
              </w:rPr>
            </w:pPr>
            <w:r w:rsidRPr="00B560A2">
              <w:rPr>
                <w:rFonts w:cs="Arial"/>
                <w:szCs w:val="18"/>
              </w:rPr>
              <w:t>71.86 ± 0.86</w:t>
            </w:r>
            <w:r w:rsidRPr="00C2161B">
              <w:rPr>
                <w:rFonts w:cs="Arial"/>
                <w:color w:val="9BBB59" w:themeColor="accent3"/>
                <w:szCs w:val="18"/>
                <w:vertAlign w:val="superscript"/>
                <w:lang w:eastAsia="pt-BR"/>
              </w:rPr>
              <w:t xml:space="preserve"> </w:t>
            </w:r>
            <w:r>
              <w:rPr>
                <w:rFonts w:cs="Arial"/>
                <w:color w:val="9BBB59" w:themeColor="accent3"/>
                <w:szCs w:val="18"/>
                <w:vertAlign w:val="superscript"/>
                <w:lang w:eastAsia="pt-BR"/>
              </w:rPr>
              <w:t>b</w:t>
            </w:r>
          </w:p>
        </w:tc>
      </w:tr>
      <w:tr w:rsidR="00E3794D" w14:paraId="72F4BE93" w14:textId="77777777" w:rsidTr="004500DF">
        <w:tc>
          <w:tcPr>
            <w:tcW w:w="2340" w:type="dxa"/>
            <w:tcBorders>
              <w:top w:val="nil"/>
              <w:left w:val="nil"/>
              <w:bottom w:val="nil"/>
              <w:right w:val="nil"/>
            </w:tcBorders>
            <w:shd w:val="clear" w:color="auto" w:fill="FFFFFF"/>
            <w:vAlign w:val="center"/>
          </w:tcPr>
          <w:p w14:paraId="2F917877" w14:textId="77777777" w:rsidR="00E3794D" w:rsidRDefault="00E3794D" w:rsidP="004500DF">
            <w:pPr>
              <w:pStyle w:val="CETBodytext"/>
              <w:ind w:right="-1"/>
              <w:rPr>
                <w:rFonts w:cs="Arial"/>
                <w:szCs w:val="18"/>
                <w:lang w:val="en-GB"/>
              </w:rPr>
            </w:pPr>
            <w:r w:rsidRPr="00B560A2">
              <w:rPr>
                <w:rFonts w:cs="Arial"/>
                <w:szCs w:val="18"/>
                <w:lang w:eastAsia="pt-BR"/>
              </w:rPr>
              <w:t>Hygroscopicity</w:t>
            </w:r>
            <w:r>
              <w:rPr>
                <w:rFonts w:cs="Arial"/>
                <w:szCs w:val="18"/>
                <w:lang w:eastAsia="pt-BR"/>
              </w:rPr>
              <w:t xml:space="preserve"> </w:t>
            </w:r>
            <w:r w:rsidRPr="00B560A2">
              <w:rPr>
                <w:rFonts w:cs="Arial"/>
                <w:szCs w:val="18"/>
                <w:lang w:eastAsia="pt-BR"/>
              </w:rPr>
              <w:t>(g.100 g</w:t>
            </w:r>
            <w:r w:rsidRPr="00B560A2">
              <w:rPr>
                <w:rFonts w:cs="Arial"/>
                <w:szCs w:val="18"/>
                <w:vertAlign w:val="superscript"/>
                <w:lang w:eastAsia="pt-BR"/>
              </w:rPr>
              <w:t>-1</w:t>
            </w:r>
            <w:r w:rsidRPr="00B560A2">
              <w:rPr>
                <w:rFonts w:cs="Arial"/>
                <w:szCs w:val="18"/>
                <w:lang w:eastAsia="pt-BR"/>
              </w:rPr>
              <w:t>)</w:t>
            </w:r>
          </w:p>
        </w:tc>
        <w:tc>
          <w:tcPr>
            <w:tcW w:w="1620" w:type="dxa"/>
            <w:tcBorders>
              <w:top w:val="nil"/>
              <w:left w:val="nil"/>
              <w:bottom w:val="nil"/>
              <w:right w:val="nil"/>
            </w:tcBorders>
            <w:shd w:val="clear" w:color="auto" w:fill="FFFFFF"/>
            <w:vAlign w:val="center"/>
          </w:tcPr>
          <w:p w14:paraId="7AC73130" w14:textId="77777777" w:rsidR="00E3794D" w:rsidRDefault="00E3794D" w:rsidP="004500DF">
            <w:pPr>
              <w:pStyle w:val="CETBodytext"/>
              <w:ind w:right="-1"/>
              <w:jc w:val="center"/>
              <w:rPr>
                <w:rFonts w:cs="Arial"/>
                <w:szCs w:val="18"/>
                <w:lang w:val="en-GB"/>
              </w:rPr>
            </w:pPr>
            <w:r w:rsidRPr="00B560A2">
              <w:rPr>
                <w:rFonts w:cs="Arial"/>
                <w:szCs w:val="18"/>
                <w:lang w:eastAsia="pt-BR"/>
              </w:rPr>
              <w:t>7.43 ± 0.26</w:t>
            </w:r>
            <w:r w:rsidRPr="00C2161B">
              <w:rPr>
                <w:rFonts w:cs="Arial"/>
                <w:color w:val="9BBB59" w:themeColor="accent3"/>
                <w:szCs w:val="18"/>
                <w:vertAlign w:val="superscript"/>
                <w:lang w:eastAsia="pt-BR"/>
              </w:rPr>
              <w:t xml:space="preserve"> a</w:t>
            </w:r>
          </w:p>
        </w:tc>
        <w:tc>
          <w:tcPr>
            <w:tcW w:w="1710" w:type="dxa"/>
            <w:tcBorders>
              <w:top w:val="nil"/>
              <w:left w:val="nil"/>
              <w:bottom w:val="nil"/>
              <w:right w:val="nil"/>
            </w:tcBorders>
            <w:shd w:val="clear" w:color="auto" w:fill="FFFFFF"/>
            <w:vAlign w:val="center"/>
          </w:tcPr>
          <w:p w14:paraId="46B6F4F9" w14:textId="77777777" w:rsidR="00E3794D" w:rsidRDefault="00E3794D" w:rsidP="004500DF">
            <w:pPr>
              <w:pStyle w:val="CETBodytext"/>
              <w:ind w:right="-1"/>
              <w:jc w:val="center"/>
              <w:rPr>
                <w:rFonts w:cs="Arial"/>
                <w:szCs w:val="18"/>
                <w:lang w:val="en-GB"/>
              </w:rPr>
            </w:pPr>
            <w:r>
              <w:rPr>
                <w:rFonts w:cs="Arial"/>
                <w:szCs w:val="18"/>
                <w:lang w:eastAsia="pt-BR"/>
              </w:rPr>
              <w:t>5.85</w:t>
            </w:r>
            <w:r w:rsidRPr="00B560A2">
              <w:rPr>
                <w:rFonts w:cs="Arial"/>
                <w:szCs w:val="18"/>
                <w:lang w:eastAsia="pt-BR"/>
              </w:rPr>
              <w:t xml:space="preserve"> ± </w:t>
            </w:r>
            <w:r>
              <w:rPr>
                <w:rFonts w:cs="Arial"/>
                <w:szCs w:val="18"/>
                <w:lang w:eastAsia="pt-BR"/>
              </w:rPr>
              <w:t>1.17</w:t>
            </w:r>
            <w:r w:rsidRPr="00C2161B">
              <w:rPr>
                <w:rFonts w:cs="Arial"/>
                <w:color w:val="9BBB59" w:themeColor="accent3"/>
                <w:szCs w:val="18"/>
                <w:vertAlign w:val="superscript"/>
                <w:lang w:eastAsia="pt-BR"/>
              </w:rPr>
              <w:t xml:space="preserve"> a</w:t>
            </w:r>
          </w:p>
        </w:tc>
        <w:tc>
          <w:tcPr>
            <w:tcW w:w="1418" w:type="dxa"/>
            <w:tcBorders>
              <w:top w:val="nil"/>
              <w:left w:val="nil"/>
              <w:bottom w:val="nil"/>
              <w:right w:val="nil"/>
            </w:tcBorders>
            <w:shd w:val="clear" w:color="auto" w:fill="FFFFFF"/>
            <w:vAlign w:val="center"/>
          </w:tcPr>
          <w:p w14:paraId="73E0DC14" w14:textId="77777777" w:rsidR="00E3794D" w:rsidRDefault="00E3794D" w:rsidP="004500DF">
            <w:pPr>
              <w:pStyle w:val="CETBodytext"/>
              <w:ind w:right="-1"/>
              <w:jc w:val="center"/>
              <w:rPr>
                <w:rFonts w:cs="Arial"/>
                <w:szCs w:val="18"/>
                <w:lang w:val="en-GB"/>
              </w:rPr>
            </w:pPr>
            <w:r>
              <w:rPr>
                <w:rFonts w:cs="Arial"/>
                <w:szCs w:val="18"/>
                <w:lang w:eastAsia="pt-BR"/>
              </w:rPr>
              <w:t>7.65</w:t>
            </w:r>
            <w:r w:rsidRPr="00B560A2">
              <w:rPr>
                <w:rFonts w:cs="Arial"/>
                <w:szCs w:val="18"/>
                <w:lang w:eastAsia="pt-BR"/>
              </w:rPr>
              <w:t xml:space="preserve"> ± </w:t>
            </w:r>
            <w:r>
              <w:rPr>
                <w:rFonts w:cs="Arial"/>
                <w:szCs w:val="18"/>
                <w:lang w:eastAsia="pt-BR"/>
              </w:rPr>
              <w:t>0</w:t>
            </w:r>
            <w:r w:rsidRPr="00B560A2">
              <w:rPr>
                <w:rFonts w:cs="Arial"/>
                <w:szCs w:val="18"/>
                <w:lang w:eastAsia="pt-BR"/>
              </w:rPr>
              <w:t>.</w:t>
            </w:r>
            <w:r>
              <w:rPr>
                <w:rFonts w:cs="Arial"/>
                <w:szCs w:val="18"/>
                <w:lang w:eastAsia="pt-BR"/>
              </w:rPr>
              <w:t>69</w:t>
            </w:r>
            <w:r w:rsidRPr="00C2161B">
              <w:rPr>
                <w:rFonts w:cs="Arial"/>
                <w:color w:val="9BBB59" w:themeColor="accent3"/>
                <w:szCs w:val="18"/>
                <w:vertAlign w:val="superscript"/>
                <w:lang w:eastAsia="pt-BR"/>
              </w:rPr>
              <w:t xml:space="preserve"> a</w:t>
            </w:r>
          </w:p>
        </w:tc>
        <w:tc>
          <w:tcPr>
            <w:tcW w:w="1417" w:type="dxa"/>
            <w:tcBorders>
              <w:top w:val="nil"/>
              <w:left w:val="nil"/>
              <w:bottom w:val="nil"/>
              <w:right w:val="nil"/>
            </w:tcBorders>
            <w:shd w:val="clear" w:color="auto" w:fill="FFFFFF"/>
            <w:vAlign w:val="center"/>
          </w:tcPr>
          <w:p w14:paraId="1467F37D" w14:textId="77777777" w:rsidR="00E3794D" w:rsidRDefault="00E3794D" w:rsidP="004500DF">
            <w:pPr>
              <w:pStyle w:val="CETBodytext"/>
              <w:ind w:right="-1"/>
              <w:jc w:val="center"/>
              <w:rPr>
                <w:rFonts w:cs="Arial"/>
                <w:szCs w:val="18"/>
                <w:lang w:val="en-GB"/>
              </w:rPr>
            </w:pPr>
            <w:r w:rsidRPr="00B560A2">
              <w:rPr>
                <w:rFonts w:cs="Arial"/>
                <w:szCs w:val="18"/>
                <w:lang w:eastAsia="pt-BR"/>
              </w:rPr>
              <w:t>6.03 ± 1.38</w:t>
            </w:r>
            <w:r w:rsidRPr="00C2161B">
              <w:rPr>
                <w:rFonts w:cs="Arial"/>
                <w:color w:val="9BBB59" w:themeColor="accent3"/>
                <w:szCs w:val="18"/>
                <w:vertAlign w:val="superscript"/>
                <w:lang w:eastAsia="pt-BR"/>
              </w:rPr>
              <w:t xml:space="preserve"> a</w:t>
            </w:r>
          </w:p>
        </w:tc>
      </w:tr>
      <w:tr w:rsidR="00E3794D" w14:paraId="6F18FC11" w14:textId="77777777" w:rsidTr="004500DF">
        <w:tc>
          <w:tcPr>
            <w:tcW w:w="2340" w:type="dxa"/>
            <w:tcBorders>
              <w:top w:val="nil"/>
              <w:left w:val="nil"/>
              <w:bottom w:val="single" w:sz="12" w:space="0" w:color="008000"/>
              <w:right w:val="nil"/>
            </w:tcBorders>
            <w:shd w:val="clear" w:color="auto" w:fill="FFFFFF"/>
            <w:vAlign w:val="center"/>
          </w:tcPr>
          <w:p w14:paraId="32400823" w14:textId="77777777" w:rsidR="00E3794D" w:rsidRDefault="00E3794D" w:rsidP="004500DF">
            <w:pPr>
              <w:pStyle w:val="CETBodytext"/>
              <w:ind w:right="-1"/>
              <w:rPr>
                <w:rFonts w:cs="Arial"/>
                <w:szCs w:val="18"/>
                <w:lang w:val="en-GB"/>
              </w:rPr>
            </w:pPr>
            <w:r w:rsidRPr="00B560A2">
              <w:rPr>
                <w:rFonts w:cs="Arial"/>
                <w:szCs w:val="18"/>
                <w:lang w:eastAsia="pt-BR"/>
              </w:rPr>
              <w:t>Caking degree (%)</w:t>
            </w:r>
          </w:p>
        </w:tc>
        <w:tc>
          <w:tcPr>
            <w:tcW w:w="1620" w:type="dxa"/>
            <w:tcBorders>
              <w:top w:val="nil"/>
              <w:left w:val="nil"/>
              <w:bottom w:val="single" w:sz="12" w:space="0" w:color="008000"/>
              <w:right w:val="nil"/>
            </w:tcBorders>
            <w:shd w:val="clear" w:color="auto" w:fill="FFFFFF"/>
            <w:vAlign w:val="center"/>
          </w:tcPr>
          <w:p w14:paraId="5D84EE92" w14:textId="77777777" w:rsidR="00E3794D" w:rsidRDefault="00E3794D" w:rsidP="004500DF">
            <w:pPr>
              <w:pStyle w:val="CETBodytext"/>
              <w:ind w:right="-1"/>
              <w:jc w:val="center"/>
              <w:rPr>
                <w:rFonts w:cs="Arial"/>
                <w:szCs w:val="18"/>
                <w:lang w:val="en-GB"/>
              </w:rPr>
            </w:pPr>
            <w:r w:rsidRPr="00B560A2">
              <w:rPr>
                <w:rFonts w:cs="Arial"/>
                <w:szCs w:val="18"/>
                <w:lang w:eastAsia="pt-BR"/>
              </w:rPr>
              <w:t>30.32 ± 0.41</w:t>
            </w:r>
            <w:r w:rsidRPr="00C2161B">
              <w:rPr>
                <w:rFonts w:cs="Arial"/>
                <w:color w:val="9BBB59" w:themeColor="accent3"/>
                <w:szCs w:val="18"/>
                <w:vertAlign w:val="superscript"/>
                <w:lang w:eastAsia="pt-BR"/>
              </w:rPr>
              <w:t xml:space="preserve"> a</w:t>
            </w:r>
          </w:p>
        </w:tc>
        <w:tc>
          <w:tcPr>
            <w:tcW w:w="1710" w:type="dxa"/>
            <w:tcBorders>
              <w:top w:val="nil"/>
              <w:left w:val="nil"/>
              <w:bottom w:val="single" w:sz="12" w:space="0" w:color="008000"/>
              <w:right w:val="nil"/>
            </w:tcBorders>
            <w:shd w:val="clear" w:color="auto" w:fill="FFFFFF"/>
            <w:vAlign w:val="center"/>
          </w:tcPr>
          <w:p w14:paraId="4FC1384C" w14:textId="77777777" w:rsidR="00E3794D" w:rsidRDefault="00E3794D" w:rsidP="004500DF">
            <w:pPr>
              <w:pStyle w:val="CETBodytext"/>
              <w:ind w:right="-1"/>
              <w:jc w:val="center"/>
              <w:rPr>
                <w:rFonts w:cs="Arial"/>
                <w:szCs w:val="18"/>
                <w:lang w:val="en-GB"/>
              </w:rPr>
            </w:pPr>
            <w:r w:rsidRPr="00B560A2">
              <w:rPr>
                <w:rFonts w:cs="Arial"/>
                <w:szCs w:val="18"/>
                <w:lang w:eastAsia="pt-BR"/>
              </w:rPr>
              <w:t>22.60 ± 0.85</w:t>
            </w:r>
            <w:r w:rsidRPr="00C2161B">
              <w:rPr>
                <w:rFonts w:cs="Arial"/>
                <w:color w:val="9BBB59" w:themeColor="accent3"/>
                <w:szCs w:val="18"/>
                <w:vertAlign w:val="superscript"/>
                <w:lang w:eastAsia="pt-BR"/>
              </w:rPr>
              <w:t xml:space="preserve"> </w:t>
            </w:r>
            <w:r>
              <w:rPr>
                <w:rFonts w:cs="Arial"/>
                <w:color w:val="9BBB59" w:themeColor="accent3"/>
                <w:szCs w:val="18"/>
                <w:vertAlign w:val="superscript"/>
                <w:lang w:eastAsia="pt-BR"/>
              </w:rPr>
              <w:t>b</w:t>
            </w:r>
          </w:p>
        </w:tc>
        <w:tc>
          <w:tcPr>
            <w:tcW w:w="1418" w:type="dxa"/>
            <w:tcBorders>
              <w:top w:val="nil"/>
              <w:left w:val="nil"/>
              <w:bottom w:val="single" w:sz="12" w:space="0" w:color="008000"/>
              <w:right w:val="nil"/>
            </w:tcBorders>
            <w:shd w:val="clear" w:color="auto" w:fill="FFFFFF"/>
            <w:vAlign w:val="center"/>
          </w:tcPr>
          <w:p w14:paraId="42998C9B" w14:textId="77777777" w:rsidR="00E3794D" w:rsidRDefault="00E3794D" w:rsidP="004500DF">
            <w:pPr>
              <w:pStyle w:val="CETBodytext"/>
              <w:ind w:right="-1"/>
              <w:jc w:val="center"/>
              <w:rPr>
                <w:rFonts w:cs="Arial"/>
                <w:szCs w:val="18"/>
                <w:lang w:val="en-GB"/>
              </w:rPr>
            </w:pPr>
            <w:r w:rsidRPr="00B560A2">
              <w:rPr>
                <w:rFonts w:cs="Arial"/>
                <w:szCs w:val="18"/>
              </w:rPr>
              <w:t>29.</w:t>
            </w:r>
            <w:r>
              <w:rPr>
                <w:rFonts w:cs="Arial"/>
                <w:szCs w:val="18"/>
              </w:rPr>
              <w:t>16</w:t>
            </w:r>
            <w:r w:rsidRPr="00B560A2">
              <w:rPr>
                <w:rFonts w:cs="Arial"/>
                <w:szCs w:val="18"/>
              </w:rPr>
              <w:t xml:space="preserve"> ± 0.</w:t>
            </w:r>
            <w:r>
              <w:rPr>
                <w:rFonts w:cs="Arial"/>
                <w:szCs w:val="18"/>
              </w:rPr>
              <w:t>59</w:t>
            </w:r>
            <w:r w:rsidRPr="00C2161B">
              <w:rPr>
                <w:rFonts w:cs="Arial"/>
                <w:color w:val="9BBB59" w:themeColor="accent3"/>
                <w:szCs w:val="18"/>
                <w:vertAlign w:val="superscript"/>
                <w:lang w:eastAsia="pt-BR"/>
              </w:rPr>
              <w:t xml:space="preserve"> a</w:t>
            </w:r>
          </w:p>
        </w:tc>
        <w:tc>
          <w:tcPr>
            <w:tcW w:w="1417" w:type="dxa"/>
            <w:tcBorders>
              <w:top w:val="nil"/>
              <w:left w:val="nil"/>
              <w:bottom w:val="single" w:sz="12" w:space="0" w:color="008000"/>
              <w:right w:val="nil"/>
            </w:tcBorders>
            <w:shd w:val="clear" w:color="auto" w:fill="FFFFFF"/>
            <w:vAlign w:val="center"/>
          </w:tcPr>
          <w:p w14:paraId="17B3FDB6" w14:textId="77777777" w:rsidR="00E3794D" w:rsidRDefault="00E3794D" w:rsidP="004500DF">
            <w:pPr>
              <w:pStyle w:val="CETBodytext"/>
              <w:ind w:right="-1"/>
              <w:jc w:val="center"/>
              <w:rPr>
                <w:rFonts w:cs="Arial"/>
                <w:szCs w:val="18"/>
                <w:lang w:val="en-GB"/>
              </w:rPr>
            </w:pPr>
            <w:r w:rsidRPr="00B560A2">
              <w:rPr>
                <w:rFonts w:cs="Arial"/>
                <w:szCs w:val="18"/>
                <w:lang w:eastAsia="pt-BR"/>
              </w:rPr>
              <w:t>22.95 ± 0.68</w:t>
            </w:r>
            <w:r w:rsidRPr="00C2161B">
              <w:rPr>
                <w:rFonts w:cs="Arial"/>
                <w:color w:val="9BBB59" w:themeColor="accent3"/>
                <w:szCs w:val="18"/>
                <w:vertAlign w:val="superscript"/>
                <w:lang w:eastAsia="pt-BR"/>
              </w:rPr>
              <w:t xml:space="preserve"> </w:t>
            </w:r>
            <w:r>
              <w:rPr>
                <w:rFonts w:cs="Arial"/>
                <w:color w:val="9BBB59" w:themeColor="accent3"/>
                <w:szCs w:val="18"/>
                <w:vertAlign w:val="superscript"/>
                <w:lang w:eastAsia="pt-BR"/>
              </w:rPr>
              <w:t>b</w:t>
            </w:r>
          </w:p>
        </w:tc>
      </w:tr>
    </w:tbl>
    <w:p w14:paraId="2C8B06EC" w14:textId="77777777" w:rsidR="00E3794D" w:rsidRDefault="00E3794D" w:rsidP="00E3794D">
      <w:pPr>
        <w:pStyle w:val="Recuodecorpodetexto"/>
        <w:spacing w:after="0"/>
        <w:ind w:left="0"/>
        <w:rPr>
          <w:rFonts w:cs="Arial"/>
          <w:color w:val="000000" w:themeColor="text1"/>
          <w:lang w:val="en-US"/>
        </w:rPr>
      </w:pPr>
      <w:r w:rsidRPr="00551F8C">
        <w:rPr>
          <w:i/>
          <w:iCs/>
          <w:color w:val="000000"/>
          <w:szCs w:val="18"/>
          <w:lang w:val="en-US"/>
        </w:rPr>
        <w:t xml:space="preserve">Results as mean of three repetitions ± standard deviation.  Different letters following the mean, in the lines, </w:t>
      </w:r>
      <w:r w:rsidRPr="008A1F52">
        <w:rPr>
          <w:rFonts w:cs="Arial"/>
          <w:color w:val="000000" w:themeColor="text1"/>
          <w:lang w:val="en-US"/>
        </w:rPr>
        <w:t>indicate significant difference in Tukey´s test (p &lt; 0.05).</w:t>
      </w:r>
    </w:p>
    <w:p w14:paraId="6C955131" w14:textId="77777777" w:rsidR="00E3794D" w:rsidRDefault="00E3794D" w:rsidP="00E3794D">
      <w:pPr>
        <w:pStyle w:val="Recuodecorpodetexto"/>
        <w:spacing w:before="240" w:after="0"/>
        <w:ind w:left="0"/>
        <w:rPr>
          <w:rFonts w:cs="Arial"/>
          <w:color w:val="000000" w:themeColor="text1"/>
          <w:lang w:val="en-US"/>
        </w:rPr>
      </w:pPr>
      <w:r w:rsidRPr="00C83984">
        <w:rPr>
          <w:rFonts w:cs="Arial"/>
          <w:color w:val="000000" w:themeColor="text1"/>
          <w:lang w:val="en-US"/>
        </w:rPr>
        <w:t>Cavalcante et al., (2018) considered the powder obtained from the soursop pulp to exhibit high solubility (62.46 ± 0.4). The powder</w:t>
      </w:r>
      <w:r>
        <w:rPr>
          <w:rFonts w:cs="Arial"/>
          <w:color w:val="000000" w:themeColor="text1"/>
          <w:lang w:val="en-US"/>
        </w:rPr>
        <w:t xml:space="preserve"> of</w:t>
      </w:r>
      <w:r w:rsidRPr="00C83984">
        <w:rPr>
          <w:rFonts w:cs="Arial"/>
          <w:color w:val="000000" w:themeColor="text1"/>
          <w:lang w:val="en-US"/>
        </w:rPr>
        <w:t xml:space="preserve"> tamarind pulp obtained in the present study resulted in even higher solubility values (Table </w:t>
      </w:r>
      <w:r>
        <w:rPr>
          <w:rFonts w:cs="Arial"/>
          <w:color w:val="000000" w:themeColor="text1"/>
          <w:lang w:val="en-US"/>
        </w:rPr>
        <w:t>2</w:t>
      </w:r>
      <w:r w:rsidRPr="00C83984">
        <w:rPr>
          <w:rFonts w:cs="Arial"/>
          <w:color w:val="000000" w:themeColor="text1"/>
          <w:lang w:val="en-US"/>
        </w:rPr>
        <w:t>), indicating high solubility for all treatments studied.</w:t>
      </w:r>
    </w:p>
    <w:p w14:paraId="3758AD40" w14:textId="77777777" w:rsidR="00E3794D" w:rsidRPr="008D4F3D" w:rsidRDefault="00E3794D" w:rsidP="00E3794D">
      <w:pPr>
        <w:pStyle w:val="Recuodecorpodetexto"/>
        <w:spacing w:after="0"/>
        <w:ind w:left="0"/>
        <w:rPr>
          <w:rFonts w:cs="Arial"/>
          <w:color w:val="000000" w:themeColor="text1"/>
        </w:rPr>
      </w:pPr>
      <w:r w:rsidRPr="00C83984">
        <w:rPr>
          <w:rFonts w:cs="Arial"/>
          <w:color w:val="000000" w:themeColor="text1"/>
          <w:lang w:val="en-US"/>
        </w:rPr>
        <w:t xml:space="preserve">According to </w:t>
      </w:r>
      <w:r w:rsidRPr="00931113">
        <w:rPr>
          <w:rFonts w:cs="Arial"/>
          <w:color w:val="000000"/>
          <w:szCs w:val="18"/>
          <w:lang w:val="en-US" w:eastAsia="pt-BR"/>
        </w:rPr>
        <w:t>Pisecky</w:t>
      </w:r>
      <w:r>
        <w:rPr>
          <w:rFonts w:cs="Arial"/>
          <w:color w:val="000000"/>
          <w:szCs w:val="18"/>
          <w:lang w:val="en-US" w:eastAsia="pt-BR"/>
        </w:rPr>
        <w:t xml:space="preserve">, </w:t>
      </w:r>
      <w:r w:rsidRPr="00931113">
        <w:rPr>
          <w:rFonts w:cs="Arial"/>
          <w:color w:val="000000"/>
          <w:szCs w:val="18"/>
          <w:lang w:val="en-US" w:eastAsia="pt-BR"/>
        </w:rPr>
        <w:t>Westergaard</w:t>
      </w:r>
      <w:r>
        <w:rPr>
          <w:rFonts w:cs="Arial"/>
          <w:color w:val="000000"/>
          <w:szCs w:val="18"/>
          <w:lang w:val="en-US" w:eastAsia="pt-BR"/>
        </w:rPr>
        <w:t xml:space="preserve"> and </w:t>
      </w:r>
      <w:r w:rsidRPr="00931113">
        <w:rPr>
          <w:rFonts w:cs="Arial"/>
          <w:color w:val="000000"/>
          <w:szCs w:val="18"/>
          <w:lang w:val="en-US" w:eastAsia="pt-BR"/>
        </w:rPr>
        <w:t>Refstrup</w:t>
      </w:r>
      <w:r w:rsidRPr="00C83984">
        <w:rPr>
          <w:rFonts w:cs="Arial"/>
          <w:color w:val="000000" w:themeColor="text1"/>
          <w:lang w:val="en-US"/>
        </w:rPr>
        <w:t xml:space="preserve"> (2012), tamarind pulp powder presents a “non-hygroscopic” behavior (&lt; 10</w:t>
      </w:r>
      <w:r>
        <w:rPr>
          <w:rFonts w:cs="Arial"/>
          <w:color w:val="000000" w:themeColor="text1"/>
          <w:lang w:val="en-US"/>
        </w:rPr>
        <w:t xml:space="preserve"> </w:t>
      </w:r>
      <w:r w:rsidRPr="00C83984">
        <w:rPr>
          <w:rFonts w:cs="Arial"/>
          <w:color w:val="000000" w:themeColor="text1"/>
          <w:lang w:val="en-US"/>
        </w:rPr>
        <w:t xml:space="preserve">%) for all treatments. The hygroscopicity values obtained for all treatments (Table </w:t>
      </w:r>
      <w:r>
        <w:rPr>
          <w:rFonts w:cs="Arial"/>
          <w:color w:val="000000" w:themeColor="text1"/>
          <w:lang w:val="en-US"/>
        </w:rPr>
        <w:t>2</w:t>
      </w:r>
      <w:r w:rsidRPr="00C83984">
        <w:rPr>
          <w:rFonts w:cs="Arial"/>
          <w:color w:val="000000" w:themeColor="text1"/>
          <w:lang w:val="en-US"/>
        </w:rPr>
        <w:t>) were lower than th</w:t>
      </w:r>
      <w:r>
        <w:rPr>
          <w:rFonts w:cs="Arial"/>
          <w:color w:val="000000" w:themeColor="text1"/>
          <w:lang w:val="en-US"/>
        </w:rPr>
        <w:t>ose</w:t>
      </w:r>
      <w:r w:rsidRPr="00C83984">
        <w:rPr>
          <w:rFonts w:cs="Arial"/>
          <w:color w:val="000000" w:themeColor="text1"/>
          <w:lang w:val="en-US"/>
        </w:rPr>
        <w:t xml:space="preserve"> obtained by Bhusari et al., (2016), </w:t>
      </w:r>
      <w:r>
        <w:rPr>
          <w:rFonts w:cs="Arial"/>
          <w:color w:val="000000" w:themeColor="text1"/>
          <w:lang w:val="en-US"/>
        </w:rPr>
        <w:t>with</w:t>
      </w:r>
      <w:r w:rsidRPr="00C83984">
        <w:rPr>
          <w:rFonts w:cs="Arial"/>
          <w:color w:val="000000" w:themeColor="text1"/>
          <w:lang w:val="en-US"/>
        </w:rPr>
        <w:t xml:space="preserve"> values from 16.61 to 28.96 g.100 </w:t>
      </w:r>
      <w:r w:rsidRPr="00AF4CA8">
        <w:rPr>
          <w:rFonts w:cs="Arial"/>
          <w:color w:val="000000" w:themeColor="text1"/>
          <w:lang w:val="en-US"/>
        </w:rPr>
        <w:t>g</w:t>
      </w:r>
      <w:r w:rsidRPr="00FE6F79">
        <w:rPr>
          <w:rFonts w:cs="Arial"/>
          <w:color w:val="000000" w:themeColor="text1"/>
          <w:vertAlign w:val="superscript"/>
          <w:lang w:val="en-US"/>
        </w:rPr>
        <w:t>-1</w:t>
      </w:r>
      <w:r>
        <w:rPr>
          <w:rFonts w:cs="Arial"/>
          <w:color w:val="000000" w:themeColor="text1"/>
          <w:lang w:val="en-US"/>
        </w:rPr>
        <w:t xml:space="preserve"> For tamarind powder obtained by spray-drying process.</w:t>
      </w:r>
      <w:r w:rsidRPr="00C83984" w:rsidDel="0050034D">
        <w:rPr>
          <w:rFonts w:cs="Arial"/>
          <w:color w:val="000000" w:themeColor="text1"/>
          <w:lang w:val="en-US"/>
        </w:rPr>
        <w:t xml:space="preserve"> </w:t>
      </w:r>
    </w:p>
    <w:p w14:paraId="5FFB522E" w14:textId="77777777" w:rsidR="00E3794D" w:rsidRDefault="00E3794D" w:rsidP="00E3794D">
      <w:pPr>
        <w:pStyle w:val="Recuodecorpodetexto"/>
        <w:spacing w:after="0"/>
        <w:ind w:left="0"/>
        <w:rPr>
          <w:rFonts w:cs="Arial"/>
          <w:color w:val="000000" w:themeColor="text1"/>
          <w:lang w:val="en-US"/>
        </w:rPr>
      </w:pPr>
      <w:r w:rsidRPr="00C83984">
        <w:rPr>
          <w:rFonts w:cs="Arial"/>
          <w:color w:val="000000" w:themeColor="text1"/>
          <w:lang w:val="en-US"/>
        </w:rPr>
        <w:t xml:space="preserve">Concerning the degree of caking, </w:t>
      </w:r>
      <w:r>
        <w:rPr>
          <w:rFonts w:cs="Arial"/>
          <w:color w:val="000000" w:themeColor="text1"/>
          <w:lang w:val="en-US"/>
        </w:rPr>
        <w:t xml:space="preserve">with values </w:t>
      </w:r>
      <w:r w:rsidRPr="00C83984">
        <w:rPr>
          <w:rFonts w:cs="Arial"/>
          <w:color w:val="000000" w:themeColor="text1"/>
          <w:lang w:val="en-US"/>
        </w:rPr>
        <w:t>between 2</w:t>
      </w:r>
      <w:r>
        <w:rPr>
          <w:rFonts w:cs="Arial"/>
          <w:color w:val="000000" w:themeColor="text1"/>
          <w:lang w:val="en-US"/>
        </w:rPr>
        <w:t>2.60</w:t>
      </w:r>
      <w:r w:rsidRPr="00C83984">
        <w:rPr>
          <w:rFonts w:cs="Arial"/>
          <w:color w:val="000000" w:themeColor="text1"/>
          <w:lang w:val="en-US"/>
        </w:rPr>
        <w:t xml:space="preserve"> and </w:t>
      </w:r>
      <w:r>
        <w:rPr>
          <w:rFonts w:cs="Arial"/>
          <w:color w:val="000000" w:themeColor="text1"/>
          <w:lang w:val="en-US"/>
        </w:rPr>
        <w:t xml:space="preserve">30.32 </w:t>
      </w:r>
      <w:r w:rsidRPr="00C83984">
        <w:rPr>
          <w:rFonts w:cs="Arial"/>
          <w:color w:val="000000" w:themeColor="text1"/>
          <w:lang w:val="en-US"/>
        </w:rPr>
        <w:t>%</w:t>
      </w:r>
      <w:r>
        <w:rPr>
          <w:rFonts w:cs="Arial"/>
          <w:color w:val="000000" w:themeColor="text1"/>
          <w:lang w:val="en-US"/>
        </w:rPr>
        <w:t xml:space="preserve">, being classified as </w:t>
      </w:r>
      <w:r w:rsidRPr="00C83984">
        <w:rPr>
          <w:rFonts w:cs="Arial"/>
          <w:color w:val="000000" w:themeColor="text1"/>
          <w:lang w:val="en-US"/>
        </w:rPr>
        <w:t xml:space="preserve">“caking formation” by </w:t>
      </w:r>
      <w:r w:rsidRPr="00931113">
        <w:rPr>
          <w:rFonts w:cs="Arial"/>
          <w:color w:val="000000"/>
          <w:szCs w:val="18"/>
          <w:lang w:val="en-US" w:eastAsia="pt-BR"/>
        </w:rPr>
        <w:t>Pisecky</w:t>
      </w:r>
      <w:r>
        <w:rPr>
          <w:rFonts w:cs="Arial"/>
          <w:color w:val="000000"/>
          <w:szCs w:val="18"/>
          <w:lang w:val="en-US" w:eastAsia="pt-BR"/>
        </w:rPr>
        <w:t xml:space="preserve">, </w:t>
      </w:r>
      <w:r w:rsidRPr="00931113">
        <w:rPr>
          <w:rFonts w:cs="Arial"/>
          <w:color w:val="000000"/>
          <w:szCs w:val="18"/>
          <w:lang w:val="en-US" w:eastAsia="pt-BR"/>
        </w:rPr>
        <w:t>Westergaard</w:t>
      </w:r>
      <w:r>
        <w:rPr>
          <w:rFonts w:cs="Arial"/>
          <w:color w:val="000000"/>
          <w:szCs w:val="18"/>
          <w:lang w:val="en-US" w:eastAsia="pt-BR"/>
        </w:rPr>
        <w:t xml:space="preserve"> and </w:t>
      </w:r>
      <w:r w:rsidRPr="00931113">
        <w:rPr>
          <w:rFonts w:cs="Arial"/>
          <w:color w:val="000000"/>
          <w:szCs w:val="18"/>
          <w:lang w:val="en-US" w:eastAsia="pt-BR"/>
        </w:rPr>
        <w:t>Refstrup</w:t>
      </w:r>
      <w:r w:rsidRPr="00C83984">
        <w:rPr>
          <w:rFonts w:cs="Arial"/>
          <w:color w:val="000000" w:themeColor="text1"/>
          <w:lang w:val="en-US"/>
        </w:rPr>
        <w:t xml:space="preserve"> (2012)</w:t>
      </w:r>
      <w:r>
        <w:rPr>
          <w:rFonts w:cs="Arial"/>
          <w:color w:val="000000" w:themeColor="text1"/>
          <w:lang w:val="en-US"/>
        </w:rPr>
        <w:t>. The</w:t>
      </w:r>
      <w:r w:rsidRPr="00C83984">
        <w:rPr>
          <w:rFonts w:cs="Arial"/>
          <w:color w:val="000000" w:themeColor="text1"/>
          <w:lang w:val="en-US"/>
        </w:rPr>
        <w:t xml:space="preserve"> control </w:t>
      </w:r>
      <w:r>
        <w:rPr>
          <w:rFonts w:cs="Arial"/>
          <w:color w:val="000000" w:themeColor="text1"/>
          <w:lang w:val="en-US"/>
        </w:rPr>
        <w:t>treatments</w:t>
      </w:r>
      <w:r w:rsidRPr="00C83984">
        <w:rPr>
          <w:rFonts w:cs="Arial"/>
          <w:color w:val="000000" w:themeColor="text1"/>
          <w:lang w:val="en-US"/>
        </w:rPr>
        <w:t xml:space="preserve"> (</w:t>
      </w:r>
      <w:r>
        <w:rPr>
          <w:rFonts w:cs="Arial"/>
          <w:color w:val="000000" w:themeColor="text1"/>
          <w:lang w:val="en-US"/>
        </w:rPr>
        <w:t xml:space="preserve">values of </w:t>
      </w:r>
      <w:r w:rsidRPr="00C83984">
        <w:rPr>
          <w:rFonts w:cs="Arial"/>
          <w:color w:val="000000" w:themeColor="text1"/>
          <w:lang w:val="en-US"/>
        </w:rPr>
        <w:t>30.32</w:t>
      </w:r>
      <w:r>
        <w:rPr>
          <w:rFonts w:cs="Arial"/>
          <w:color w:val="000000" w:themeColor="text1"/>
          <w:lang w:val="en-US"/>
        </w:rPr>
        <w:t xml:space="preserve"> </w:t>
      </w:r>
      <w:r w:rsidRPr="00C83984">
        <w:rPr>
          <w:rFonts w:cs="Arial"/>
          <w:color w:val="000000" w:themeColor="text1"/>
          <w:lang w:val="en-US"/>
        </w:rPr>
        <w:t>% and 29.60</w:t>
      </w:r>
      <w:r>
        <w:rPr>
          <w:rFonts w:cs="Arial"/>
          <w:color w:val="000000" w:themeColor="text1"/>
          <w:lang w:val="en-US"/>
        </w:rPr>
        <w:t xml:space="preserve"> </w:t>
      </w:r>
      <w:r w:rsidRPr="00C83984">
        <w:rPr>
          <w:rFonts w:cs="Arial"/>
          <w:color w:val="000000" w:themeColor="text1"/>
          <w:lang w:val="en-US"/>
        </w:rPr>
        <w:t>% for C and C+ CaCO</w:t>
      </w:r>
      <w:r w:rsidRPr="00784CBA">
        <w:rPr>
          <w:rFonts w:cs="Arial"/>
          <w:color w:val="000000" w:themeColor="text1"/>
          <w:vertAlign w:val="subscript"/>
          <w:lang w:val="en-US"/>
        </w:rPr>
        <w:t>3</w:t>
      </w:r>
      <w:r w:rsidRPr="00C83984">
        <w:rPr>
          <w:rFonts w:cs="Arial"/>
          <w:color w:val="000000" w:themeColor="text1"/>
          <w:lang w:val="en-US"/>
        </w:rPr>
        <w:t xml:space="preserve">, respectively) were </w:t>
      </w:r>
      <w:r>
        <w:rPr>
          <w:rFonts w:cs="Arial"/>
          <w:color w:val="000000" w:themeColor="text1"/>
          <w:lang w:val="en-US"/>
        </w:rPr>
        <w:t xml:space="preserve">higher (p&lt;0.05) when compared to the treatments with acidity reduction (Neutralized, with </w:t>
      </w:r>
      <w:r w:rsidRPr="00C83984">
        <w:rPr>
          <w:rFonts w:cs="Arial"/>
          <w:color w:val="000000" w:themeColor="text1"/>
          <w:lang w:val="en-US"/>
        </w:rPr>
        <w:t>22.60</w:t>
      </w:r>
      <w:r>
        <w:rPr>
          <w:rFonts w:cs="Arial"/>
          <w:color w:val="000000" w:themeColor="text1"/>
          <w:lang w:val="en-US"/>
        </w:rPr>
        <w:t xml:space="preserve"> </w:t>
      </w:r>
      <w:r w:rsidRPr="00C83984">
        <w:rPr>
          <w:rFonts w:cs="Arial"/>
          <w:color w:val="000000" w:themeColor="text1"/>
          <w:lang w:val="en-US"/>
        </w:rPr>
        <w:t>% and 22.95</w:t>
      </w:r>
      <w:r>
        <w:rPr>
          <w:rFonts w:cs="Arial"/>
          <w:color w:val="000000" w:themeColor="text1"/>
          <w:lang w:val="en-US"/>
        </w:rPr>
        <w:t xml:space="preserve"> </w:t>
      </w:r>
      <w:r w:rsidRPr="00C83984">
        <w:rPr>
          <w:rFonts w:cs="Arial"/>
          <w:color w:val="000000" w:themeColor="text1"/>
          <w:lang w:val="en-US"/>
        </w:rPr>
        <w:t xml:space="preserve">%). In terms of particle agglomeration, reduction in tamarind pulp acidity was more beneficial than addition of an anti-caking agent to the pulp powder. </w:t>
      </w:r>
      <w:r>
        <w:rPr>
          <w:rFonts w:cs="Arial"/>
          <w:color w:val="000000" w:themeColor="text1"/>
          <w:lang w:val="en-US"/>
        </w:rPr>
        <w:t>In addition, t</w:t>
      </w:r>
      <w:r w:rsidRPr="00C83984">
        <w:rPr>
          <w:rFonts w:cs="Arial"/>
          <w:color w:val="000000" w:themeColor="text1"/>
          <w:lang w:val="en-US"/>
        </w:rPr>
        <w:t>he use of barrier packaging may be effective in preventing increases in the degree of caking, as this was efficient in controlling moisture levels.</w:t>
      </w:r>
    </w:p>
    <w:p w14:paraId="478C980F" w14:textId="77777777" w:rsidR="00E3794D" w:rsidRPr="00B57B36" w:rsidRDefault="00E3794D" w:rsidP="00E3794D">
      <w:pPr>
        <w:pStyle w:val="CETTabletitle"/>
        <w:ind w:right="-33"/>
      </w:pPr>
      <w:r w:rsidRPr="00B57B36">
        <w:t xml:space="preserve">Table </w:t>
      </w:r>
      <w:r>
        <w:t>3</w:t>
      </w:r>
      <w:r w:rsidRPr="00B57B36">
        <w:t xml:space="preserve">: </w:t>
      </w:r>
      <w:r w:rsidRPr="000D5E70">
        <w:rPr>
          <w:color w:val="000000" w:themeColor="text1"/>
          <w:lang w:val="en-US"/>
        </w:rPr>
        <w:t>Mathematical modeling parameters to represent the adsorption isotherms of tamarind pulp powder</w:t>
      </w:r>
      <w:r>
        <w:rPr>
          <w:color w:val="000000" w:themeColor="text1"/>
          <w:lang w:val="en-US"/>
        </w:rPr>
        <w:t>, d</w:t>
      </w:r>
      <w:r w:rsidRPr="003C0565">
        <w:rPr>
          <w:color w:val="000000" w:themeColor="text1"/>
          <w:lang w:val="en-US"/>
        </w:rPr>
        <w:t>eveloped from control (C) and neutralized (N) pulp treatments, with and without the use of an anti-caking agent (CaCO</w:t>
      </w:r>
      <w:r w:rsidRPr="00151443">
        <w:rPr>
          <w:color w:val="000000" w:themeColor="text1"/>
          <w:vertAlign w:val="subscript"/>
          <w:lang w:val="en-US"/>
        </w:rPr>
        <w:t>3</w:t>
      </w:r>
      <w:r w:rsidRPr="003C0565">
        <w:rPr>
          <w:color w:val="000000" w:themeColor="text1"/>
          <w:lang w:val="en-US"/>
        </w:rPr>
        <w:t>), and obtained using a freeze</w:t>
      </w:r>
      <w:r>
        <w:rPr>
          <w:color w:val="000000" w:themeColor="text1"/>
          <w:lang w:val="en-US"/>
        </w:rPr>
        <w:t>-</w:t>
      </w:r>
      <w:r w:rsidRPr="003C0565">
        <w:rPr>
          <w:color w:val="000000" w:themeColor="text1"/>
          <w:lang w:val="en-US"/>
        </w:rPr>
        <w:t>dryer.</w:t>
      </w:r>
    </w:p>
    <w:tbl>
      <w:tblPr>
        <w:tblW w:w="8877" w:type="dxa"/>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1170"/>
        <w:gridCol w:w="1170"/>
        <w:gridCol w:w="810"/>
        <w:gridCol w:w="810"/>
        <w:gridCol w:w="720"/>
        <w:gridCol w:w="900"/>
        <w:gridCol w:w="810"/>
        <w:gridCol w:w="720"/>
        <w:gridCol w:w="900"/>
        <w:gridCol w:w="867"/>
      </w:tblGrid>
      <w:tr w:rsidR="00E3794D" w14:paraId="23C7C298" w14:textId="77777777" w:rsidTr="004500DF">
        <w:tc>
          <w:tcPr>
            <w:tcW w:w="1170" w:type="dxa"/>
            <w:tcBorders>
              <w:top w:val="single" w:sz="12" w:space="0" w:color="008000"/>
              <w:left w:val="nil"/>
              <w:right w:val="nil"/>
            </w:tcBorders>
            <w:shd w:val="clear" w:color="auto" w:fill="FFFFFF"/>
          </w:tcPr>
          <w:p w14:paraId="77B2601F" w14:textId="77777777" w:rsidR="00E3794D" w:rsidRDefault="00E3794D" w:rsidP="004500DF">
            <w:pPr>
              <w:pStyle w:val="CETBodytext"/>
              <w:rPr>
                <w:lang w:val="en-GB"/>
              </w:rPr>
            </w:pPr>
            <w:r>
              <w:rPr>
                <w:lang w:val="en-GB"/>
              </w:rPr>
              <w:t>Models</w:t>
            </w:r>
          </w:p>
        </w:tc>
        <w:tc>
          <w:tcPr>
            <w:tcW w:w="1170" w:type="dxa"/>
            <w:vMerge w:val="restart"/>
            <w:tcBorders>
              <w:top w:val="single" w:sz="12" w:space="0" w:color="008000"/>
              <w:left w:val="nil"/>
              <w:right w:val="nil"/>
            </w:tcBorders>
            <w:shd w:val="clear" w:color="auto" w:fill="FFFFFF"/>
          </w:tcPr>
          <w:p w14:paraId="111E7BF4" w14:textId="77777777" w:rsidR="00E3794D" w:rsidRDefault="00E3794D" w:rsidP="004500DF">
            <w:pPr>
              <w:pStyle w:val="CETBodytext"/>
              <w:rPr>
                <w:lang w:val="en-GB"/>
              </w:rPr>
            </w:pPr>
            <w:r>
              <w:rPr>
                <w:lang w:val="en-GB"/>
              </w:rPr>
              <w:t>Parameters</w:t>
            </w:r>
          </w:p>
        </w:tc>
        <w:tc>
          <w:tcPr>
            <w:tcW w:w="1620" w:type="dxa"/>
            <w:gridSpan w:val="2"/>
            <w:tcBorders>
              <w:top w:val="single" w:sz="12" w:space="0" w:color="008000"/>
              <w:left w:val="nil"/>
              <w:bottom w:val="single" w:sz="6" w:space="0" w:color="008000"/>
              <w:right w:val="nil"/>
            </w:tcBorders>
            <w:shd w:val="clear" w:color="auto" w:fill="FFFFFF"/>
            <w:vAlign w:val="bottom"/>
          </w:tcPr>
          <w:p w14:paraId="5985E853" w14:textId="77777777" w:rsidR="00E3794D" w:rsidRPr="00502EF8" w:rsidRDefault="00E3794D" w:rsidP="004500DF">
            <w:pPr>
              <w:pStyle w:val="CETBodytext"/>
              <w:ind w:right="-1"/>
              <w:rPr>
                <w:rFonts w:cs="Arial"/>
                <w:bCs/>
                <w:szCs w:val="18"/>
                <w:lang w:val="en-GB"/>
              </w:rPr>
            </w:pPr>
            <w:r w:rsidRPr="00502EF8">
              <w:rPr>
                <w:rFonts w:cs="Arial"/>
                <w:bCs/>
                <w:color w:val="000000" w:themeColor="text1"/>
                <w:szCs w:val="18"/>
              </w:rPr>
              <w:t>Control</w:t>
            </w:r>
          </w:p>
        </w:tc>
        <w:tc>
          <w:tcPr>
            <w:tcW w:w="1620" w:type="dxa"/>
            <w:gridSpan w:val="2"/>
            <w:tcBorders>
              <w:top w:val="single" w:sz="12" w:space="0" w:color="008000"/>
              <w:left w:val="nil"/>
              <w:bottom w:val="single" w:sz="6" w:space="0" w:color="008000"/>
              <w:right w:val="nil"/>
            </w:tcBorders>
            <w:shd w:val="clear" w:color="auto" w:fill="FFFFFF"/>
            <w:vAlign w:val="bottom"/>
          </w:tcPr>
          <w:p w14:paraId="012EAA33" w14:textId="77777777" w:rsidR="00E3794D" w:rsidRPr="00502EF8" w:rsidRDefault="00E3794D" w:rsidP="004500DF">
            <w:pPr>
              <w:pStyle w:val="CETBodytext"/>
              <w:ind w:right="-1"/>
              <w:rPr>
                <w:rFonts w:cs="Arial"/>
                <w:bCs/>
                <w:szCs w:val="18"/>
                <w:lang w:val="en-GB"/>
              </w:rPr>
            </w:pPr>
            <w:r w:rsidRPr="00502EF8">
              <w:rPr>
                <w:rFonts w:cs="Arial"/>
                <w:bCs/>
                <w:color w:val="000000" w:themeColor="text1"/>
                <w:szCs w:val="18"/>
              </w:rPr>
              <w:t>Control + CaCO</w:t>
            </w:r>
            <w:r w:rsidRPr="00502EF8">
              <w:rPr>
                <w:rFonts w:cs="Arial"/>
                <w:bCs/>
                <w:color w:val="000000" w:themeColor="text1"/>
                <w:szCs w:val="18"/>
                <w:vertAlign w:val="subscript"/>
              </w:rPr>
              <w:t>3</w:t>
            </w:r>
          </w:p>
        </w:tc>
        <w:tc>
          <w:tcPr>
            <w:tcW w:w="1530" w:type="dxa"/>
            <w:gridSpan w:val="2"/>
            <w:tcBorders>
              <w:top w:val="single" w:sz="12" w:space="0" w:color="008000"/>
              <w:left w:val="nil"/>
              <w:bottom w:val="single" w:sz="6" w:space="0" w:color="008000"/>
              <w:right w:val="nil"/>
            </w:tcBorders>
            <w:shd w:val="clear" w:color="auto" w:fill="FFFFFF"/>
            <w:vAlign w:val="bottom"/>
          </w:tcPr>
          <w:p w14:paraId="7644052C" w14:textId="77777777" w:rsidR="00E3794D" w:rsidRPr="00502EF8" w:rsidRDefault="00E3794D" w:rsidP="004500DF">
            <w:pPr>
              <w:pStyle w:val="CETBodytext"/>
              <w:ind w:right="-1"/>
              <w:rPr>
                <w:rFonts w:cs="Arial"/>
                <w:bCs/>
                <w:szCs w:val="18"/>
                <w:lang w:val="en-GB"/>
              </w:rPr>
            </w:pPr>
            <w:r w:rsidRPr="00502EF8">
              <w:rPr>
                <w:rFonts w:cs="Arial"/>
                <w:bCs/>
                <w:color w:val="000000" w:themeColor="text1"/>
                <w:szCs w:val="18"/>
              </w:rPr>
              <w:t>Neutralized</w:t>
            </w:r>
          </w:p>
        </w:tc>
        <w:tc>
          <w:tcPr>
            <w:tcW w:w="1767" w:type="dxa"/>
            <w:gridSpan w:val="2"/>
            <w:tcBorders>
              <w:top w:val="single" w:sz="12" w:space="0" w:color="008000"/>
              <w:left w:val="nil"/>
              <w:bottom w:val="single" w:sz="6" w:space="0" w:color="008000"/>
              <w:right w:val="nil"/>
            </w:tcBorders>
            <w:shd w:val="clear" w:color="auto" w:fill="FFFFFF"/>
            <w:vAlign w:val="bottom"/>
          </w:tcPr>
          <w:p w14:paraId="2A874DFE" w14:textId="77777777" w:rsidR="00E3794D" w:rsidRPr="00502EF8" w:rsidRDefault="00E3794D" w:rsidP="004500DF">
            <w:pPr>
              <w:pStyle w:val="CETBodytext"/>
              <w:ind w:right="-1"/>
              <w:rPr>
                <w:rFonts w:cs="Arial"/>
                <w:bCs/>
                <w:szCs w:val="18"/>
                <w:lang w:val="en-GB"/>
              </w:rPr>
            </w:pPr>
            <w:r w:rsidRPr="00502EF8">
              <w:rPr>
                <w:rFonts w:cs="Arial"/>
                <w:bCs/>
                <w:color w:val="000000" w:themeColor="text1"/>
                <w:szCs w:val="18"/>
              </w:rPr>
              <w:t>Neutralized + CaCO</w:t>
            </w:r>
            <w:r w:rsidRPr="00502EF8">
              <w:rPr>
                <w:rFonts w:cs="Arial"/>
                <w:bCs/>
                <w:color w:val="000000" w:themeColor="text1"/>
                <w:szCs w:val="18"/>
                <w:vertAlign w:val="subscript"/>
              </w:rPr>
              <w:t>3</w:t>
            </w:r>
          </w:p>
        </w:tc>
      </w:tr>
      <w:tr w:rsidR="00E3794D" w14:paraId="79D80BBC" w14:textId="77777777" w:rsidTr="004500DF">
        <w:tc>
          <w:tcPr>
            <w:tcW w:w="1170" w:type="dxa"/>
            <w:tcBorders>
              <w:left w:val="nil"/>
              <w:bottom w:val="single" w:sz="6" w:space="0" w:color="008000"/>
              <w:right w:val="nil"/>
            </w:tcBorders>
            <w:shd w:val="clear" w:color="auto" w:fill="FFFFFF"/>
          </w:tcPr>
          <w:p w14:paraId="41811956" w14:textId="77777777" w:rsidR="00E3794D" w:rsidRDefault="00E3794D" w:rsidP="004500DF">
            <w:pPr>
              <w:pStyle w:val="CETBodytext"/>
              <w:rPr>
                <w:lang w:val="en-GB"/>
              </w:rPr>
            </w:pPr>
          </w:p>
        </w:tc>
        <w:tc>
          <w:tcPr>
            <w:tcW w:w="1170" w:type="dxa"/>
            <w:vMerge/>
            <w:tcBorders>
              <w:left w:val="nil"/>
              <w:bottom w:val="single" w:sz="6" w:space="0" w:color="008000"/>
              <w:right w:val="nil"/>
            </w:tcBorders>
            <w:shd w:val="clear" w:color="auto" w:fill="FFFFFF"/>
            <w:hideMark/>
          </w:tcPr>
          <w:p w14:paraId="10B5C319" w14:textId="77777777" w:rsidR="00E3794D" w:rsidRDefault="00E3794D" w:rsidP="004500DF">
            <w:pPr>
              <w:pStyle w:val="CETBodytext"/>
              <w:rPr>
                <w:lang w:val="en-GB"/>
              </w:rPr>
            </w:pPr>
          </w:p>
        </w:tc>
        <w:tc>
          <w:tcPr>
            <w:tcW w:w="810" w:type="dxa"/>
            <w:tcBorders>
              <w:top w:val="single" w:sz="12" w:space="0" w:color="008000"/>
              <w:left w:val="nil"/>
              <w:bottom w:val="single" w:sz="6" w:space="0" w:color="008000"/>
              <w:right w:val="nil"/>
            </w:tcBorders>
            <w:shd w:val="clear" w:color="auto" w:fill="FFFFFF"/>
            <w:vAlign w:val="bottom"/>
            <w:hideMark/>
          </w:tcPr>
          <w:p w14:paraId="280A5B2B" w14:textId="77777777" w:rsidR="00E3794D" w:rsidRPr="00502EF8" w:rsidRDefault="00E3794D" w:rsidP="004500DF">
            <w:pPr>
              <w:pStyle w:val="CETBodytext"/>
              <w:rPr>
                <w:bCs/>
                <w:lang w:val="en-GB"/>
              </w:rPr>
            </w:pPr>
            <w:r w:rsidRPr="00502EF8">
              <w:rPr>
                <w:rFonts w:cs="Arial"/>
                <w:bCs/>
                <w:color w:val="000000" w:themeColor="text1"/>
                <w:szCs w:val="18"/>
              </w:rPr>
              <w:t>25</w:t>
            </w:r>
            <w:r>
              <w:rPr>
                <w:rFonts w:cs="Arial"/>
                <w:bCs/>
                <w:color w:val="000000" w:themeColor="text1"/>
                <w:szCs w:val="18"/>
              </w:rPr>
              <w:t xml:space="preserve"> </w:t>
            </w:r>
            <w:r w:rsidRPr="00502EF8">
              <w:rPr>
                <w:rFonts w:cs="Arial"/>
                <w:bCs/>
                <w:color w:val="000000" w:themeColor="text1"/>
                <w:szCs w:val="18"/>
              </w:rPr>
              <w:t>°C</w:t>
            </w:r>
          </w:p>
        </w:tc>
        <w:tc>
          <w:tcPr>
            <w:tcW w:w="810" w:type="dxa"/>
            <w:tcBorders>
              <w:top w:val="single" w:sz="12" w:space="0" w:color="008000"/>
              <w:left w:val="nil"/>
              <w:bottom w:val="single" w:sz="6" w:space="0" w:color="008000"/>
              <w:right w:val="nil"/>
            </w:tcBorders>
            <w:shd w:val="clear" w:color="auto" w:fill="FFFFFF"/>
            <w:vAlign w:val="bottom"/>
          </w:tcPr>
          <w:p w14:paraId="3058463B" w14:textId="77777777" w:rsidR="00E3794D" w:rsidRPr="00502EF8" w:rsidRDefault="00E3794D" w:rsidP="004500DF">
            <w:pPr>
              <w:pStyle w:val="CETBodytext"/>
              <w:ind w:right="-1"/>
              <w:rPr>
                <w:rFonts w:cs="Arial"/>
                <w:bCs/>
                <w:szCs w:val="18"/>
                <w:lang w:val="en-GB"/>
              </w:rPr>
            </w:pPr>
            <w:r w:rsidRPr="00502EF8">
              <w:rPr>
                <w:rFonts w:cs="Arial"/>
                <w:bCs/>
                <w:color w:val="000000" w:themeColor="text1"/>
                <w:szCs w:val="18"/>
              </w:rPr>
              <w:t>40</w:t>
            </w:r>
            <w:r>
              <w:rPr>
                <w:rFonts w:cs="Arial"/>
                <w:bCs/>
                <w:color w:val="000000" w:themeColor="text1"/>
                <w:szCs w:val="18"/>
              </w:rPr>
              <w:t xml:space="preserve"> </w:t>
            </w:r>
            <w:r w:rsidRPr="00502EF8">
              <w:rPr>
                <w:rFonts w:cs="Arial"/>
                <w:bCs/>
                <w:color w:val="000000" w:themeColor="text1"/>
                <w:szCs w:val="18"/>
              </w:rPr>
              <w:t>°C</w:t>
            </w:r>
          </w:p>
        </w:tc>
        <w:tc>
          <w:tcPr>
            <w:tcW w:w="720" w:type="dxa"/>
            <w:tcBorders>
              <w:top w:val="single" w:sz="12" w:space="0" w:color="008000"/>
              <w:left w:val="nil"/>
              <w:bottom w:val="single" w:sz="6" w:space="0" w:color="008000"/>
              <w:right w:val="nil"/>
            </w:tcBorders>
            <w:shd w:val="clear" w:color="auto" w:fill="FFFFFF"/>
            <w:vAlign w:val="bottom"/>
          </w:tcPr>
          <w:p w14:paraId="458B1575" w14:textId="77777777" w:rsidR="00E3794D" w:rsidRPr="00502EF8" w:rsidRDefault="00E3794D" w:rsidP="004500DF">
            <w:pPr>
              <w:pStyle w:val="CETBodytext"/>
              <w:ind w:right="-1"/>
              <w:rPr>
                <w:rFonts w:cs="Arial"/>
                <w:bCs/>
                <w:szCs w:val="18"/>
                <w:lang w:val="en-GB"/>
              </w:rPr>
            </w:pPr>
            <w:r w:rsidRPr="00502EF8">
              <w:rPr>
                <w:rFonts w:cs="Arial"/>
                <w:bCs/>
                <w:color w:val="000000" w:themeColor="text1"/>
                <w:szCs w:val="18"/>
              </w:rPr>
              <w:t>25</w:t>
            </w:r>
            <w:r>
              <w:rPr>
                <w:rFonts w:cs="Arial"/>
                <w:bCs/>
                <w:color w:val="000000" w:themeColor="text1"/>
                <w:szCs w:val="18"/>
              </w:rPr>
              <w:t xml:space="preserve"> </w:t>
            </w:r>
            <w:r w:rsidRPr="00502EF8">
              <w:rPr>
                <w:rFonts w:cs="Arial"/>
                <w:bCs/>
                <w:color w:val="000000" w:themeColor="text1"/>
                <w:szCs w:val="18"/>
              </w:rPr>
              <w:t>°C</w:t>
            </w:r>
          </w:p>
        </w:tc>
        <w:tc>
          <w:tcPr>
            <w:tcW w:w="900" w:type="dxa"/>
            <w:tcBorders>
              <w:top w:val="single" w:sz="12" w:space="0" w:color="008000"/>
              <w:left w:val="nil"/>
              <w:bottom w:val="single" w:sz="6" w:space="0" w:color="008000"/>
              <w:right w:val="nil"/>
            </w:tcBorders>
            <w:shd w:val="clear" w:color="auto" w:fill="FFFFFF"/>
            <w:vAlign w:val="bottom"/>
          </w:tcPr>
          <w:p w14:paraId="03C3030C" w14:textId="77777777" w:rsidR="00E3794D" w:rsidRPr="00502EF8" w:rsidRDefault="00E3794D" w:rsidP="004500DF">
            <w:pPr>
              <w:pStyle w:val="CETBodytext"/>
              <w:ind w:right="-1"/>
              <w:rPr>
                <w:rFonts w:cs="Arial"/>
                <w:bCs/>
                <w:szCs w:val="18"/>
                <w:lang w:val="en-GB"/>
              </w:rPr>
            </w:pPr>
            <w:r w:rsidRPr="00502EF8">
              <w:rPr>
                <w:rFonts w:cs="Arial"/>
                <w:bCs/>
                <w:color w:val="000000" w:themeColor="text1"/>
                <w:szCs w:val="18"/>
              </w:rPr>
              <w:t>40</w:t>
            </w:r>
            <w:r>
              <w:rPr>
                <w:rFonts w:cs="Arial"/>
                <w:bCs/>
                <w:color w:val="000000" w:themeColor="text1"/>
                <w:szCs w:val="18"/>
              </w:rPr>
              <w:t xml:space="preserve"> </w:t>
            </w:r>
            <w:r w:rsidRPr="00502EF8">
              <w:rPr>
                <w:rFonts w:cs="Arial"/>
                <w:bCs/>
                <w:color w:val="000000" w:themeColor="text1"/>
                <w:szCs w:val="18"/>
              </w:rPr>
              <w:t>°C</w:t>
            </w:r>
          </w:p>
        </w:tc>
        <w:tc>
          <w:tcPr>
            <w:tcW w:w="810" w:type="dxa"/>
            <w:tcBorders>
              <w:top w:val="single" w:sz="12" w:space="0" w:color="008000"/>
              <w:left w:val="nil"/>
              <w:bottom w:val="single" w:sz="6" w:space="0" w:color="008000"/>
              <w:right w:val="nil"/>
            </w:tcBorders>
            <w:shd w:val="clear" w:color="auto" w:fill="FFFFFF"/>
            <w:vAlign w:val="bottom"/>
          </w:tcPr>
          <w:p w14:paraId="6B589928" w14:textId="77777777" w:rsidR="00E3794D" w:rsidRPr="00502EF8" w:rsidRDefault="00E3794D" w:rsidP="004500DF">
            <w:pPr>
              <w:pStyle w:val="CETBodytext"/>
              <w:ind w:right="-1"/>
              <w:rPr>
                <w:rFonts w:cs="Arial"/>
                <w:bCs/>
                <w:szCs w:val="18"/>
                <w:lang w:val="en-GB"/>
              </w:rPr>
            </w:pPr>
            <w:r w:rsidRPr="00502EF8">
              <w:rPr>
                <w:rFonts w:cs="Arial"/>
                <w:bCs/>
                <w:color w:val="000000" w:themeColor="text1"/>
                <w:szCs w:val="18"/>
              </w:rPr>
              <w:t>25</w:t>
            </w:r>
            <w:r>
              <w:rPr>
                <w:rFonts w:cs="Arial"/>
                <w:bCs/>
                <w:color w:val="000000" w:themeColor="text1"/>
                <w:szCs w:val="18"/>
              </w:rPr>
              <w:t xml:space="preserve"> </w:t>
            </w:r>
            <w:r w:rsidRPr="00502EF8">
              <w:rPr>
                <w:rFonts w:cs="Arial"/>
                <w:bCs/>
                <w:color w:val="000000" w:themeColor="text1"/>
                <w:szCs w:val="18"/>
              </w:rPr>
              <w:t>°C</w:t>
            </w:r>
          </w:p>
        </w:tc>
        <w:tc>
          <w:tcPr>
            <w:tcW w:w="720" w:type="dxa"/>
            <w:tcBorders>
              <w:top w:val="single" w:sz="12" w:space="0" w:color="008000"/>
              <w:left w:val="nil"/>
              <w:bottom w:val="single" w:sz="6" w:space="0" w:color="008000"/>
              <w:right w:val="nil"/>
            </w:tcBorders>
            <w:shd w:val="clear" w:color="auto" w:fill="FFFFFF"/>
            <w:vAlign w:val="bottom"/>
          </w:tcPr>
          <w:p w14:paraId="40F87D68" w14:textId="77777777" w:rsidR="00E3794D" w:rsidRPr="00502EF8" w:rsidRDefault="00E3794D" w:rsidP="004500DF">
            <w:pPr>
              <w:pStyle w:val="CETBodytext"/>
              <w:ind w:right="-1"/>
              <w:rPr>
                <w:rFonts w:cs="Arial"/>
                <w:bCs/>
                <w:szCs w:val="18"/>
                <w:lang w:val="en-GB"/>
              </w:rPr>
            </w:pPr>
            <w:r w:rsidRPr="00502EF8">
              <w:rPr>
                <w:rFonts w:cs="Arial"/>
                <w:bCs/>
                <w:color w:val="000000" w:themeColor="text1"/>
                <w:szCs w:val="18"/>
              </w:rPr>
              <w:t>40</w:t>
            </w:r>
            <w:r>
              <w:rPr>
                <w:rFonts w:cs="Arial"/>
                <w:bCs/>
                <w:color w:val="000000" w:themeColor="text1"/>
                <w:szCs w:val="18"/>
              </w:rPr>
              <w:t xml:space="preserve"> </w:t>
            </w:r>
            <w:r w:rsidRPr="00502EF8">
              <w:rPr>
                <w:rFonts w:cs="Arial"/>
                <w:bCs/>
                <w:color w:val="000000" w:themeColor="text1"/>
                <w:szCs w:val="18"/>
              </w:rPr>
              <w:t>°C</w:t>
            </w:r>
          </w:p>
        </w:tc>
        <w:tc>
          <w:tcPr>
            <w:tcW w:w="900" w:type="dxa"/>
            <w:tcBorders>
              <w:top w:val="single" w:sz="12" w:space="0" w:color="008000"/>
              <w:left w:val="nil"/>
              <w:bottom w:val="single" w:sz="6" w:space="0" w:color="008000"/>
              <w:right w:val="nil"/>
            </w:tcBorders>
            <w:shd w:val="clear" w:color="auto" w:fill="FFFFFF"/>
            <w:vAlign w:val="bottom"/>
          </w:tcPr>
          <w:p w14:paraId="17EFCB96" w14:textId="77777777" w:rsidR="00E3794D" w:rsidRPr="00502EF8" w:rsidRDefault="00E3794D" w:rsidP="004500DF">
            <w:pPr>
              <w:pStyle w:val="CETBodytext"/>
              <w:ind w:right="-1"/>
              <w:rPr>
                <w:rFonts w:cs="Arial"/>
                <w:bCs/>
                <w:szCs w:val="18"/>
                <w:lang w:val="en-GB"/>
              </w:rPr>
            </w:pPr>
            <w:r w:rsidRPr="00502EF8">
              <w:rPr>
                <w:rFonts w:cs="Arial"/>
                <w:bCs/>
                <w:color w:val="000000" w:themeColor="text1"/>
                <w:szCs w:val="18"/>
              </w:rPr>
              <w:t>25</w:t>
            </w:r>
            <w:r>
              <w:rPr>
                <w:rFonts w:cs="Arial"/>
                <w:bCs/>
                <w:color w:val="000000" w:themeColor="text1"/>
                <w:szCs w:val="18"/>
              </w:rPr>
              <w:t xml:space="preserve"> </w:t>
            </w:r>
            <w:r w:rsidRPr="00502EF8">
              <w:rPr>
                <w:rFonts w:cs="Arial"/>
                <w:bCs/>
                <w:color w:val="000000" w:themeColor="text1"/>
                <w:szCs w:val="18"/>
              </w:rPr>
              <w:t>°C</w:t>
            </w:r>
          </w:p>
        </w:tc>
        <w:tc>
          <w:tcPr>
            <w:tcW w:w="867" w:type="dxa"/>
            <w:tcBorders>
              <w:top w:val="single" w:sz="12" w:space="0" w:color="008000"/>
              <w:left w:val="nil"/>
              <w:bottom w:val="single" w:sz="6" w:space="0" w:color="008000"/>
              <w:right w:val="nil"/>
            </w:tcBorders>
            <w:shd w:val="clear" w:color="auto" w:fill="FFFFFF"/>
            <w:vAlign w:val="bottom"/>
          </w:tcPr>
          <w:p w14:paraId="6561F3EF" w14:textId="77777777" w:rsidR="00E3794D" w:rsidRPr="00502EF8" w:rsidRDefault="00E3794D" w:rsidP="004500DF">
            <w:pPr>
              <w:pStyle w:val="CETBodytext"/>
              <w:ind w:right="-1"/>
              <w:rPr>
                <w:rFonts w:cs="Arial"/>
                <w:bCs/>
                <w:szCs w:val="18"/>
                <w:lang w:val="en-GB"/>
              </w:rPr>
            </w:pPr>
            <w:r w:rsidRPr="00502EF8">
              <w:rPr>
                <w:rFonts w:cs="Arial"/>
                <w:bCs/>
                <w:color w:val="000000" w:themeColor="text1"/>
                <w:szCs w:val="18"/>
              </w:rPr>
              <w:t>40</w:t>
            </w:r>
            <w:r>
              <w:rPr>
                <w:rFonts w:cs="Arial"/>
                <w:bCs/>
                <w:color w:val="000000" w:themeColor="text1"/>
                <w:szCs w:val="18"/>
              </w:rPr>
              <w:t xml:space="preserve"> </w:t>
            </w:r>
            <w:r w:rsidRPr="00502EF8">
              <w:rPr>
                <w:rFonts w:cs="Arial"/>
                <w:bCs/>
                <w:color w:val="000000" w:themeColor="text1"/>
                <w:szCs w:val="18"/>
              </w:rPr>
              <w:t>°C</w:t>
            </w:r>
          </w:p>
        </w:tc>
      </w:tr>
      <w:tr w:rsidR="00E3794D" w14:paraId="500F7514" w14:textId="77777777" w:rsidTr="004500DF">
        <w:tc>
          <w:tcPr>
            <w:tcW w:w="1170" w:type="dxa"/>
            <w:vMerge w:val="restart"/>
            <w:tcBorders>
              <w:top w:val="single" w:sz="6" w:space="0" w:color="008000"/>
              <w:left w:val="nil"/>
              <w:bottom w:val="nil"/>
              <w:right w:val="nil"/>
            </w:tcBorders>
            <w:shd w:val="clear" w:color="auto" w:fill="FFFFFF"/>
          </w:tcPr>
          <w:p w14:paraId="70472B6C" w14:textId="77777777" w:rsidR="00E3794D" w:rsidRPr="000D5E70" w:rsidRDefault="00E3794D" w:rsidP="004500DF">
            <w:pPr>
              <w:pStyle w:val="CETBodytext"/>
              <w:rPr>
                <w:rFonts w:cs="Arial"/>
                <w:color w:val="000000" w:themeColor="text1"/>
                <w:szCs w:val="18"/>
              </w:rPr>
            </w:pPr>
            <w:r>
              <w:rPr>
                <w:rFonts w:cs="Arial"/>
                <w:color w:val="000000" w:themeColor="text1"/>
                <w:szCs w:val="18"/>
              </w:rPr>
              <w:t>GAB</w:t>
            </w:r>
          </w:p>
        </w:tc>
        <w:tc>
          <w:tcPr>
            <w:tcW w:w="1170" w:type="dxa"/>
            <w:tcBorders>
              <w:top w:val="single" w:sz="6" w:space="0" w:color="008000"/>
              <w:left w:val="nil"/>
              <w:bottom w:val="nil"/>
              <w:right w:val="nil"/>
            </w:tcBorders>
            <w:shd w:val="clear" w:color="auto" w:fill="FFFFFF"/>
            <w:vAlign w:val="bottom"/>
          </w:tcPr>
          <w:p w14:paraId="7559BF73" w14:textId="77777777" w:rsidR="00E3794D" w:rsidRDefault="00E3794D" w:rsidP="004500DF">
            <w:pPr>
              <w:pStyle w:val="CETBodytext"/>
              <w:rPr>
                <w:lang w:val="en-GB"/>
              </w:rPr>
            </w:pPr>
            <w:r w:rsidRPr="000D5E70">
              <w:rPr>
                <w:rFonts w:cs="Arial"/>
                <w:color w:val="000000" w:themeColor="text1"/>
                <w:szCs w:val="18"/>
              </w:rPr>
              <w:t>Xm</w:t>
            </w:r>
          </w:p>
        </w:tc>
        <w:tc>
          <w:tcPr>
            <w:tcW w:w="810" w:type="dxa"/>
            <w:tcBorders>
              <w:top w:val="single" w:sz="6" w:space="0" w:color="008000"/>
              <w:left w:val="nil"/>
              <w:bottom w:val="nil"/>
              <w:right w:val="nil"/>
            </w:tcBorders>
            <w:shd w:val="clear" w:color="auto" w:fill="FFFFFF"/>
            <w:vAlign w:val="center"/>
          </w:tcPr>
          <w:p w14:paraId="0F128A4E" w14:textId="77777777" w:rsidR="00E3794D" w:rsidRDefault="00E3794D" w:rsidP="004500DF">
            <w:pPr>
              <w:pStyle w:val="CETBodytext"/>
              <w:rPr>
                <w:lang w:val="en-GB"/>
              </w:rPr>
            </w:pPr>
            <w:r w:rsidRPr="000D5E70">
              <w:rPr>
                <w:rFonts w:cs="Arial"/>
                <w:color w:val="000000" w:themeColor="text1"/>
                <w:szCs w:val="18"/>
              </w:rPr>
              <w:t>0.156</w:t>
            </w:r>
          </w:p>
        </w:tc>
        <w:tc>
          <w:tcPr>
            <w:tcW w:w="810" w:type="dxa"/>
            <w:tcBorders>
              <w:top w:val="single" w:sz="6" w:space="0" w:color="008000"/>
              <w:left w:val="nil"/>
              <w:bottom w:val="nil"/>
              <w:right w:val="nil"/>
            </w:tcBorders>
            <w:shd w:val="clear" w:color="auto" w:fill="FFFFFF"/>
            <w:vAlign w:val="center"/>
          </w:tcPr>
          <w:p w14:paraId="555078A0" w14:textId="77777777" w:rsidR="00E3794D" w:rsidRDefault="00E3794D" w:rsidP="004500DF">
            <w:pPr>
              <w:pStyle w:val="CETBodytext"/>
              <w:ind w:right="-1"/>
              <w:rPr>
                <w:rFonts w:cs="Arial"/>
                <w:szCs w:val="18"/>
                <w:lang w:val="en-GB"/>
              </w:rPr>
            </w:pPr>
            <w:r w:rsidRPr="000D5E70">
              <w:rPr>
                <w:rFonts w:cs="Arial"/>
                <w:color w:val="000000" w:themeColor="text1"/>
                <w:szCs w:val="18"/>
              </w:rPr>
              <w:t>0.184</w:t>
            </w:r>
          </w:p>
        </w:tc>
        <w:tc>
          <w:tcPr>
            <w:tcW w:w="720" w:type="dxa"/>
            <w:tcBorders>
              <w:top w:val="single" w:sz="6" w:space="0" w:color="008000"/>
              <w:left w:val="nil"/>
              <w:bottom w:val="nil"/>
              <w:right w:val="nil"/>
            </w:tcBorders>
            <w:shd w:val="clear" w:color="auto" w:fill="FFFFFF"/>
            <w:vAlign w:val="center"/>
          </w:tcPr>
          <w:p w14:paraId="0B306500" w14:textId="77777777" w:rsidR="00E3794D" w:rsidRDefault="00E3794D" w:rsidP="004500DF">
            <w:pPr>
              <w:pStyle w:val="CETBodytext"/>
              <w:ind w:right="-1"/>
              <w:rPr>
                <w:rFonts w:cs="Arial"/>
                <w:szCs w:val="18"/>
                <w:lang w:val="en-GB"/>
              </w:rPr>
            </w:pPr>
            <w:r w:rsidRPr="000D5E70">
              <w:rPr>
                <w:rFonts w:cs="Arial"/>
                <w:color w:val="000000" w:themeColor="text1"/>
                <w:szCs w:val="18"/>
              </w:rPr>
              <w:t>0.139</w:t>
            </w:r>
          </w:p>
        </w:tc>
        <w:tc>
          <w:tcPr>
            <w:tcW w:w="900" w:type="dxa"/>
            <w:tcBorders>
              <w:top w:val="single" w:sz="6" w:space="0" w:color="008000"/>
              <w:left w:val="nil"/>
              <w:bottom w:val="nil"/>
              <w:right w:val="nil"/>
            </w:tcBorders>
            <w:shd w:val="clear" w:color="auto" w:fill="FFFFFF"/>
            <w:vAlign w:val="center"/>
          </w:tcPr>
          <w:p w14:paraId="5A9F606E" w14:textId="77777777" w:rsidR="00E3794D" w:rsidRDefault="00E3794D" w:rsidP="004500DF">
            <w:pPr>
              <w:pStyle w:val="CETBodytext"/>
              <w:ind w:right="-1"/>
              <w:rPr>
                <w:rFonts w:cs="Arial"/>
                <w:szCs w:val="18"/>
                <w:lang w:val="en-GB"/>
              </w:rPr>
            </w:pPr>
            <w:r w:rsidRPr="000D5E70">
              <w:rPr>
                <w:rFonts w:cs="Arial"/>
                <w:color w:val="000000" w:themeColor="text1"/>
                <w:szCs w:val="18"/>
              </w:rPr>
              <w:t>0.173</w:t>
            </w:r>
          </w:p>
        </w:tc>
        <w:tc>
          <w:tcPr>
            <w:tcW w:w="810" w:type="dxa"/>
            <w:tcBorders>
              <w:top w:val="single" w:sz="6" w:space="0" w:color="008000"/>
              <w:left w:val="nil"/>
              <w:bottom w:val="nil"/>
              <w:right w:val="nil"/>
            </w:tcBorders>
            <w:shd w:val="clear" w:color="auto" w:fill="FFFFFF"/>
            <w:vAlign w:val="center"/>
          </w:tcPr>
          <w:p w14:paraId="2F4334FA" w14:textId="77777777" w:rsidR="00E3794D" w:rsidRDefault="00E3794D" w:rsidP="004500DF">
            <w:pPr>
              <w:pStyle w:val="CETBodytext"/>
              <w:ind w:right="-1"/>
              <w:rPr>
                <w:rFonts w:cs="Arial"/>
                <w:szCs w:val="18"/>
                <w:lang w:val="en-GB"/>
              </w:rPr>
            </w:pPr>
            <w:r w:rsidRPr="000D5E70">
              <w:rPr>
                <w:rFonts w:cs="Arial"/>
                <w:color w:val="000000" w:themeColor="text1"/>
                <w:szCs w:val="18"/>
              </w:rPr>
              <w:t>0.095</w:t>
            </w:r>
          </w:p>
        </w:tc>
        <w:tc>
          <w:tcPr>
            <w:tcW w:w="720" w:type="dxa"/>
            <w:tcBorders>
              <w:top w:val="single" w:sz="6" w:space="0" w:color="008000"/>
              <w:left w:val="nil"/>
              <w:bottom w:val="nil"/>
              <w:right w:val="nil"/>
            </w:tcBorders>
            <w:shd w:val="clear" w:color="auto" w:fill="FFFFFF"/>
            <w:vAlign w:val="center"/>
          </w:tcPr>
          <w:p w14:paraId="40542C91" w14:textId="77777777" w:rsidR="00E3794D" w:rsidRDefault="00E3794D" w:rsidP="004500DF">
            <w:pPr>
              <w:pStyle w:val="CETBodytext"/>
              <w:ind w:right="-1"/>
              <w:rPr>
                <w:rFonts w:cs="Arial"/>
                <w:szCs w:val="18"/>
                <w:lang w:val="en-GB"/>
              </w:rPr>
            </w:pPr>
            <w:r w:rsidRPr="000D5E70">
              <w:rPr>
                <w:rFonts w:cs="Arial"/>
                <w:color w:val="000000" w:themeColor="text1"/>
                <w:szCs w:val="18"/>
              </w:rPr>
              <w:t>0.094</w:t>
            </w:r>
          </w:p>
        </w:tc>
        <w:tc>
          <w:tcPr>
            <w:tcW w:w="900" w:type="dxa"/>
            <w:tcBorders>
              <w:top w:val="single" w:sz="6" w:space="0" w:color="008000"/>
              <w:left w:val="nil"/>
              <w:bottom w:val="nil"/>
              <w:right w:val="nil"/>
            </w:tcBorders>
            <w:shd w:val="clear" w:color="auto" w:fill="FFFFFF"/>
            <w:vAlign w:val="center"/>
          </w:tcPr>
          <w:p w14:paraId="783E9708" w14:textId="77777777" w:rsidR="00E3794D" w:rsidRDefault="00E3794D" w:rsidP="004500DF">
            <w:pPr>
              <w:pStyle w:val="CETBodytext"/>
              <w:ind w:right="-1"/>
              <w:rPr>
                <w:rFonts w:cs="Arial"/>
                <w:szCs w:val="18"/>
                <w:lang w:val="en-GB"/>
              </w:rPr>
            </w:pPr>
            <w:r w:rsidRPr="000D5E70">
              <w:rPr>
                <w:rFonts w:cs="Arial"/>
                <w:color w:val="000000" w:themeColor="text1"/>
                <w:szCs w:val="18"/>
              </w:rPr>
              <w:t>0.088</w:t>
            </w:r>
          </w:p>
        </w:tc>
        <w:tc>
          <w:tcPr>
            <w:tcW w:w="867" w:type="dxa"/>
            <w:tcBorders>
              <w:top w:val="single" w:sz="6" w:space="0" w:color="008000"/>
              <w:left w:val="nil"/>
              <w:bottom w:val="nil"/>
              <w:right w:val="nil"/>
            </w:tcBorders>
            <w:shd w:val="clear" w:color="auto" w:fill="FFFFFF"/>
            <w:vAlign w:val="center"/>
          </w:tcPr>
          <w:p w14:paraId="1434FE60" w14:textId="77777777" w:rsidR="00E3794D" w:rsidRDefault="00E3794D" w:rsidP="004500DF">
            <w:pPr>
              <w:pStyle w:val="CETBodytext"/>
              <w:ind w:right="-1"/>
              <w:rPr>
                <w:rFonts w:cs="Arial"/>
                <w:szCs w:val="18"/>
                <w:lang w:val="en-GB"/>
              </w:rPr>
            </w:pPr>
            <w:r w:rsidRPr="000D5E70">
              <w:rPr>
                <w:rFonts w:cs="Arial"/>
                <w:color w:val="000000" w:themeColor="text1"/>
                <w:szCs w:val="18"/>
              </w:rPr>
              <w:t>0.088</w:t>
            </w:r>
          </w:p>
        </w:tc>
      </w:tr>
      <w:tr w:rsidR="00E3794D" w14:paraId="1682D31D" w14:textId="77777777" w:rsidTr="004500DF">
        <w:tc>
          <w:tcPr>
            <w:tcW w:w="1170" w:type="dxa"/>
            <w:vMerge/>
            <w:tcBorders>
              <w:top w:val="nil"/>
              <w:left w:val="nil"/>
              <w:bottom w:val="nil"/>
              <w:right w:val="nil"/>
            </w:tcBorders>
            <w:shd w:val="clear" w:color="auto" w:fill="FFFFFF"/>
          </w:tcPr>
          <w:p w14:paraId="7C0B4FB0" w14:textId="77777777" w:rsidR="00E3794D" w:rsidRPr="000D5E70" w:rsidRDefault="00E3794D" w:rsidP="004500DF">
            <w:pPr>
              <w:pStyle w:val="CETBodytext"/>
              <w:ind w:right="-1"/>
              <w:rPr>
                <w:rFonts w:cs="Arial"/>
                <w:color w:val="000000" w:themeColor="text1"/>
                <w:szCs w:val="18"/>
              </w:rPr>
            </w:pPr>
          </w:p>
        </w:tc>
        <w:tc>
          <w:tcPr>
            <w:tcW w:w="1170" w:type="dxa"/>
            <w:tcBorders>
              <w:top w:val="nil"/>
              <w:left w:val="nil"/>
              <w:bottom w:val="nil"/>
              <w:right w:val="nil"/>
            </w:tcBorders>
            <w:shd w:val="clear" w:color="auto" w:fill="FFFFFF"/>
            <w:vAlign w:val="bottom"/>
          </w:tcPr>
          <w:p w14:paraId="58FD0175" w14:textId="77777777" w:rsidR="00E3794D" w:rsidRDefault="00E3794D" w:rsidP="004500DF">
            <w:pPr>
              <w:pStyle w:val="CETBodytext"/>
              <w:ind w:right="-1"/>
              <w:rPr>
                <w:rFonts w:cs="Arial"/>
                <w:szCs w:val="18"/>
                <w:lang w:val="en-GB"/>
              </w:rPr>
            </w:pPr>
            <w:r w:rsidRPr="000D5E70">
              <w:rPr>
                <w:rFonts w:cs="Arial"/>
                <w:color w:val="000000" w:themeColor="text1"/>
                <w:szCs w:val="18"/>
              </w:rPr>
              <w:t>C</w:t>
            </w:r>
          </w:p>
        </w:tc>
        <w:tc>
          <w:tcPr>
            <w:tcW w:w="810" w:type="dxa"/>
            <w:tcBorders>
              <w:top w:val="nil"/>
              <w:left w:val="nil"/>
              <w:bottom w:val="nil"/>
              <w:right w:val="nil"/>
            </w:tcBorders>
            <w:shd w:val="clear" w:color="auto" w:fill="FFFFFF"/>
            <w:vAlign w:val="center"/>
          </w:tcPr>
          <w:p w14:paraId="7D2DBC58" w14:textId="77777777" w:rsidR="00E3794D" w:rsidRDefault="00E3794D" w:rsidP="004500DF">
            <w:pPr>
              <w:pStyle w:val="CETBodytext"/>
              <w:ind w:right="-1"/>
              <w:rPr>
                <w:rFonts w:cs="Arial"/>
                <w:szCs w:val="18"/>
                <w:lang w:val="en-GB"/>
              </w:rPr>
            </w:pPr>
            <w:r w:rsidRPr="000D5E70">
              <w:rPr>
                <w:rFonts w:cs="Arial"/>
                <w:color w:val="000000" w:themeColor="text1"/>
                <w:szCs w:val="18"/>
              </w:rPr>
              <w:t>0.982</w:t>
            </w:r>
          </w:p>
        </w:tc>
        <w:tc>
          <w:tcPr>
            <w:tcW w:w="810" w:type="dxa"/>
            <w:tcBorders>
              <w:top w:val="nil"/>
              <w:left w:val="nil"/>
              <w:bottom w:val="nil"/>
              <w:right w:val="nil"/>
            </w:tcBorders>
            <w:shd w:val="clear" w:color="auto" w:fill="FFFFFF"/>
            <w:vAlign w:val="center"/>
          </w:tcPr>
          <w:p w14:paraId="5E9F69D0" w14:textId="77777777" w:rsidR="00E3794D" w:rsidRDefault="00E3794D" w:rsidP="004500DF">
            <w:pPr>
              <w:pStyle w:val="CETBodytext"/>
              <w:ind w:right="-1"/>
              <w:rPr>
                <w:rFonts w:cs="Arial"/>
                <w:szCs w:val="18"/>
                <w:lang w:val="en-GB"/>
              </w:rPr>
            </w:pPr>
            <w:r w:rsidRPr="000D5E70">
              <w:rPr>
                <w:rFonts w:cs="Arial"/>
                <w:color w:val="000000" w:themeColor="text1"/>
                <w:szCs w:val="18"/>
              </w:rPr>
              <w:t>0.876</w:t>
            </w:r>
          </w:p>
        </w:tc>
        <w:tc>
          <w:tcPr>
            <w:tcW w:w="720" w:type="dxa"/>
            <w:tcBorders>
              <w:top w:val="nil"/>
              <w:left w:val="nil"/>
              <w:bottom w:val="nil"/>
              <w:right w:val="nil"/>
            </w:tcBorders>
            <w:shd w:val="clear" w:color="auto" w:fill="FFFFFF"/>
            <w:vAlign w:val="center"/>
          </w:tcPr>
          <w:p w14:paraId="24AB357E" w14:textId="77777777" w:rsidR="00E3794D" w:rsidRDefault="00E3794D" w:rsidP="004500DF">
            <w:pPr>
              <w:pStyle w:val="CETBodytext"/>
              <w:ind w:right="-1"/>
              <w:rPr>
                <w:rFonts w:cs="Arial"/>
                <w:szCs w:val="18"/>
                <w:lang w:val="en-GB"/>
              </w:rPr>
            </w:pPr>
            <w:r w:rsidRPr="000D5E70">
              <w:rPr>
                <w:rFonts w:cs="Arial"/>
                <w:color w:val="000000" w:themeColor="text1"/>
                <w:szCs w:val="18"/>
              </w:rPr>
              <w:t>0.646</w:t>
            </w:r>
          </w:p>
        </w:tc>
        <w:tc>
          <w:tcPr>
            <w:tcW w:w="900" w:type="dxa"/>
            <w:tcBorders>
              <w:top w:val="nil"/>
              <w:left w:val="nil"/>
              <w:bottom w:val="nil"/>
              <w:right w:val="nil"/>
            </w:tcBorders>
            <w:shd w:val="clear" w:color="auto" w:fill="FFFFFF"/>
            <w:vAlign w:val="center"/>
          </w:tcPr>
          <w:p w14:paraId="572FEFF3" w14:textId="77777777" w:rsidR="00E3794D" w:rsidRDefault="00E3794D" w:rsidP="004500DF">
            <w:pPr>
              <w:pStyle w:val="CETBodytext"/>
              <w:ind w:right="-1"/>
              <w:rPr>
                <w:rFonts w:cs="Arial"/>
                <w:szCs w:val="18"/>
                <w:lang w:val="en-GB"/>
              </w:rPr>
            </w:pPr>
            <w:r w:rsidRPr="000D5E70">
              <w:rPr>
                <w:rFonts w:cs="Arial"/>
                <w:color w:val="000000" w:themeColor="text1"/>
                <w:szCs w:val="18"/>
              </w:rPr>
              <w:t>0.646</w:t>
            </w:r>
          </w:p>
        </w:tc>
        <w:tc>
          <w:tcPr>
            <w:tcW w:w="810" w:type="dxa"/>
            <w:tcBorders>
              <w:top w:val="nil"/>
              <w:left w:val="nil"/>
              <w:bottom w:val="nil"/>
              <w:right w:val="nil"/>
            </w:tcBorders>
            <w:shd w:val="clear" w:color="auto" w:fill="FFFFFF"/>
            <w:vAlign w:val="center"/>
          </w:tcPr>
          <w:p w14:paraId="65151A90" w14:textId="77777777" w:rsidR="00E3794D" w:rsidRDefault="00E3794D" w:rsidP="004500DF">
            <w:pPr>
              <w:pStyle w:val="CETBodytext"/>
              <w:ind w:right="-1"/>
              <w:rPr>
                <w:rFonts w:cs="Arial"/>
                <w:szCs w:val="18"/>
                <w:lang w:val="en-GB"/>
              </w:rPr>
            </w:pPr>
            <w:r w:rsidRPr="000D5E70">
              <w:rPr>
                <w:rFonts w:cs="Arial"/>
                <w:color w:val="000000" w:themeColor="text1"/>
                <w:szCs w:val="18"/>
              </w:rPr>
              <w:t>1.406</w:t>
            </w:r>
          </w:p>
        </w:tc>
        <w:tc>
          <w:tcPr>
            <w:tcW w:w="720" w:type="dxa"/>
            <w:tcBorders>
              <w:top w:val="nil"/>
              <w:left w:val="nil"/>
              <w:bottom w:val="nil"/>
              <w:right w:val="nil"/>
            </w:tcBorders>
            <w:shd w:val="clear" w:color="auto" w:fill="FFFFFF"/>
            <w:vAlign w:val="center"/>
          </w:tcPr>
          <w:p w14:paraId="75A8E59E" w14:textId="77777777" w:rsidR="00E3794D" w:rsidRDefault="00E3794D" w:rsidP="004500DF">
            <w:pPr>
              <w:pStyle w:val="CETBodytext"/>
              <w:ind w:right="-1"/>
              <w:rPr>
                <w:rFonts w:cs="Arial"/>
                <w:szCs w:val="18"/>
                <w:lang w:val="en-GB"/>
              </w:rPr>
            </w:pPr>
            <w:r w:rsidRPr="000D5E70">
              <w:rPr>
                <w:rFonts w:cs="Arial"/>
                <w:color w:val="000000" w:themeColor="text1"/>
                <w:szCs w:val="18"/>
              </w:rPr>
              <w:t>1.755</w:t>
            </w:r>
          </w:p>
        </w:tc>
        <w:tc>
          <w:tcPr>
            <w:tcW w:w="900" w:type="dxa"/>
            <w:tcBorders>
              <w:top w:val="nil"/>
              <w:left w:val="nil"/>
              <w:bottom w:val="nil"/>
              <w:right w:val="nil"/>
            </w:tcBorders>
            <w:shd w:val="clear" w:color="auto" w:fill="FFFFFF"/>
            <w:vAlign w:val="center"/>
          </w:tcPr>
          <w:p w14:paraId="6B7DE066" w14:textId="77777777" w:rsidR="00E3794D" w:rsidRDefault="00E3794D" w:rsidP="004500DF">
            <w:pPr>
              <w:pStyle w:val="CETBodytext"/>
              <w:ind w:right="-1"/>
              <w:rPr>
                <w:rFonts w:cs="Arial"/>
                <w:szCs w:val="18"/>
                <w:lang w:val="en-GB"/>
              </w:rPr>
            </w:pPr>
            <w:r w:rsidRPr="000D5E70">
              <w:rPr>
                <w:rFonts w:cs="Arial"/>
                <w:color w:val="000000" w:themeColor="text1"/>
                <w:szCs w:val="18"/>
              </w:rPr>
              <w:t>1.261</w:t>
            </w:r>
          </w:p>
        </w:tc>
        <w:tc>
          <w:tcPr>
            <w:tcW w:w="867" w:type="dxa"/>
            <w:tcBorders>
              <w:top w:val="nil"/>
              <w:left w:val="nil"/>
              <w:bottom w:val="nil"/>
              <w:right w:val="nil"/>
            </w:tcBorders>
            <w:shd w:val="clear" w:color="auto" w:fill="FFFFFF"/>
            <w:vAlign w:val="center"/>
          </w:tcPr>
          <w:p w14:paraId="57168896" w14:textId="77777777" w:rsidR="00E3794D" w:rsidRDefault="00E3794D" w:rsidP="004500DF">
            <w:pPr>
              <w:pStyle w:val="CETBodytext"/>
              <w:ind w:right="-1"/>
              <w:rPr>
                <w:rFonts w:cs="Arial"/>
                <w:szCs w:val="18"/>
                <w:lang w:val="en-GB"/>
              </w:rPr>
            </w:pPr>
            <w:r w:rsidRPr="000D5E70">
              <w:rPr>
                <w:rFonts w:cs="Arial"/>
                <w:color w:val="000000" w:themeColor="text1"/>
                <w:szCs w:val="18"/>
              </w:rPr>
              <w:t>1.563</w:t>
            </w:r>
          </w:p>
        </w:tc>
      </w:tr>
      <w:tr w:rsidR="00E3794D" w14:paraId="4F1204FA" w14:textId="77777777" w:rsidTr="004500DF">
        <w:tc>
          <w:tcPr>
            <w:tcW w:w="1170" w:type="dxa"/>
            <w:vMerge/>
            <w:tcBorders>
              <w:top w:val="nil"/>
              <w:left w:val="nil"/>
              <w:bottom w:val="nil"/>
              <w:right w:val="nil"/>
            </w:tcBorders>
            <w:shd w:val="clear" w:color="auto" w:fill="FFFFFF"/>
          </w:tcPr>
          <w:p w14:paraId="33E9B33D" w14:textId="77777777" w:rsidR="00E3794D" w:rsidRPr="000D5E70" w:rsidRDefault="00E3794D" w:rsidP="004500DF">
            <w:pPr>
              <w:pStyle w:val="CETBodytext"/>
              <w:ind w:right="-1"/>
              <w:rPr>
                <w:rFonts w:cs="Arial"/>
                <w:color w:val="000000" w:themeColor="text1"/>
                <w:szCs w:val="18"/>
              </w:rPr>
            </w:pPr>
          </w:p>
        </w:tc>
        <w:tc>
          <w:tcPr>
            <w:tcW w:w="1170" w:type="dxa"/>
            <w:tcBorders>
              <w:top w:val="nil"/>
              <w:left w:val="nil"/>
              <w:bottom w:val="nil"/>
              <w:right w:val="nil"/>
            </w:tcBorders>
            <w:shd w:val="clear" w:color="auto" w:fill="FFFFFF"/>
            <w:vAlign w:val="bottom"/>
          </w:tcPr>
          <w:p w14:paraId="278DEB60" w14:textId="77777777" w:rsidR="00E3794D" w:rsidRDefault="00E3794D" w:rsidP="004500DF">
            <w:pPr>
              <w:pStyle w:val="CETBodytext"/>
              <w:ind w:right="-1"/>
              <w:rPr>
                <w:rFonts w:cs="Arial"/>
                <w:szCs w:val="18"/>
                <w:lang w:val="en-GB"/>
              </w:rPr>
            </w:pPr>
            <w:r w:rsidRPr="000D5E70">
              <w:rPr>
                <w:rFonts w:cs="Arial"/>
                <w:color w:val="000000" w:themeColor="text1"/>
                <w:szCs w:val="18"/>
              </w:rPr>
              <w:t>K</w:t>
            </w:r>
          </w:p>
        </w:tc>
        <w:tc>
          <w:tcPr>
            <w:tcW w:w="810" w:type="dxa"/>
            <w:tcBorders>
              <w:top w:val="nil"/>
              <w:left w:val="nil"/>
              <w:bottom w:val="nil"/>
              <w:right w:val="nil"/>
            </w:tcBorders>
            <w:shd w:val="clear" w:color="auto" w:fill="FFFFFF"/>
            <w:vAlign w:val="center"/>
          </w:tcPr>
          <w:p w14:paraId="0A8B8EE8" w14:textId="77777777" w:rsidR="00E3794D" w:rsidRDefault="00E3794D" w:rsidP="004500DF">
            <w:pPr>
              <w:pStyle w:val="CETBodytext"/>
              <w:ind w:right="-1"/>
              <w:rPr>
                <w:rFonts w:cs="Arial"/>
                <w:szCs w:val="18"/>
                <w:lang w:val="en-GB"/>
              </w:rPr>
            </w:pPr>
            <w:r w:rsidRPr="000D5E70">
              <w:rPr>
                <w:rFonts w:cs="Arial"/>
                <w:color w:val="000000" w:themeColor="text1"/>
                <w:szCs w:val="18"/>
              </w:rPr>
              <w:t>0.946</w:t>
            </w:r>
          </w:p>
        </w:tc>
        <w:tc>
          <w:tcPr>
            <w:tcW w:w="810" w:type="dxa"/>
            <w:tcBorders>
              <w:top w:val="nil"/>
              <w:left w:val="nil"/>
              <w:bottom w:val="nil"/>
              <w:right w:val="nil"/>
            </w:tcBorders>
            <w:shd w:val="clear" w:color="auto" w:fill="FFFFFF"/>
            <w:vAlign w:val="center"/>
          </w:tcPr>
          <w:p w14:paraId="26F60345" w14:textId="77777777" w:rsidR="00E3794D" w:rsidRDefault="00E3794D" w:rsidP="004500DF">
            <w:pPr>
              <w:pStyle w:val="CETBodytext"/>
              <w:ind w:right="-1"/>
              <w:rPr>
                <w:rFonts w:cs="Arial"/>
                <w:szCs w:val="18"/>
                <w:lang w:val="en-GB"/>
              </w:rPr>
            </w:pPr>
            <w:r w:rsidRPr="000D5E70">
              <w:rPr>
                <w:rFonts w:cs="Arial"/>
                <w:color w:val="000000" w:themeColor="text1"/>
                <w:szCs w:val="18"/>
              </w:rPr>
              <w:t>0.934</w:t>
            </w:r>
          </w:p>
        </w:tc>
        <w:tc>
          <w:tcPr>
            <w:tcW w:w="720" w:type="dxa"/>
            <w:tcBorders>
              <w:top w:val="nil"/>
              <w:left w:val="nil"/>
              <w:bottom w:val="nil"/>
              <w:right w:val="nil"/>
            </w:tcBorders>
            <w:shd w:val="clear" w:color="auto" w:fill="FFFFFF"/>
            <w:vAlign w:val="center"/>
          </w:tcPr>
          <w:p w14:paraId="46E82F41" w14:textId="77777777" w:rsidR="00E3794D" w:rsidRDefault="00E3794D" w:rsidP="004500DF">
            <w:pPr>
              <w:pStyle w:val="CETBodytext"/>
              <w:ind w:right="-1"/>
              <w:rPr>
                <w:rFonts w:cs="Arial"/>
                <w:szCs w:val="18"/>
                <w:lang w:val="en-GB"/>
              </w:rPr>
            </w:pPr>
            <w:r w:rsidRPr="000D5E70">
              <w:rPr>
                <w:rFonts w:cs="Arial"/>
                <w:color w:val="000000" w:themeColor="text1"/>
                <w:szCs w:val="18"/>
              </w:rPr>
              <w:t>0.970</w:t>
            </w:r>
          </w:p>
        </w:tc>
        <w:tc>
          <w:tcPr>
            <w:tcW w:w="900" w:type="dxa"/>
            <w:tcBorders>
              <w:top w:val="nil"/>
              <w:left w:val="nil"/>
              <w:bottom w:val="nil"/>
              <w:right w:val="nil"/>
            </w:tcBorders>
            <w:shd w:val="clear" w:color="auto" w:fill="FFFFFF"/>
            <w:vAlign w:val="center"/>
          </w:tcPr>
          <w:p w14:paraId="5469AB80" w14:textId="77777777" w:rsidR="00E3794D" w:rsidRDefault="00E3794D" w:rsidP="004500DF">
            <w:pPr>
              <w:pStyle w:val="CETBodytext"/>
              <w:ind w:right="-1"/>
              <w:rPr>
                <w:rFonts w:cs="Arial"/>
                <w:szCs w:val="18"/>
                <w:lang w:val="en-GB"/>
              </w:rPr>
            </w:pPr>
            <w:r w:rsidRPr="000D5E70">
              <w:rPr>
                <w:rFonts w:cs="Arial"/>
                <w:color w:val="000000" w:themeColor="text1"/>
                <w:szCs w:val="18"/>
              </w:rPr>
              <w:t>0.946</w:t>
            </w:r>
          </w:p>
        </w:tc>
        <w:tc>
          <w:tcPr>
            <w:tcW w:w="810" w:type="dxa"/>
            <w:tcBorders>
              <w:top w:val="nil"/>
              <w:left w:val="nil"/>
              <w:bottom w:val="nil"/>
              <w:right w:val="nil"/>
            </w:tcBorders>
            <w:shd w:val="clear" w:color="auto" w:fill="FFFFFF"/>
            <w:vAlign w:val="center"/>
          </w:tcPr>
          <w:p w14:paraId="74E53400" w14:textId="77777777" w:rsidR="00E3794D" w:rsidRDefault="00E3794D" w:rsidP="004500DF">
            <w:pPr>
              <w:pStyle w:val="CETBodytext"/>
              <w:ind w:right="-1"/>
              <w:rPr>
                <w:rFonts w:cs="Arial"/>
                <w:szCs w:val="18"/>
                <w:lang w:val="en-GB"/>
              </w:rPr>
            </w:pPr>
            <w:r w:rsidRPr="000D5E70">
              <w:rPr>
                <w:rFonts w:cs="Arial"/>
                <w:color w:val="000000" w:themeColor="text1"/>
                <w:szCs w:val="18"/>
              </w:rPr>
              <w:t>0.972</w:t>
            </w:r>
          </w:p>
        </w:tc>
        <w:tc>
          <w:tcPr>
            <w:tcW w:w="720" w:type="dxa"/>
            <w:tcBorders>
              <w:top w:val="nil"/>
              <w:left w:val="nil"/>
              <w:bottom w:val="nil"/>
              <w:right w:val="nil"/>
            </w:tcBorders>
            <w:shd w:val="clear" w:color="auto" w:fill="FFFFFF"/>
            <w:vAlign w:val="center"/>
          </w:tcPr>
          <w:p w14:paraId="1808D06D" w14:textId="77777777" w:rsidR="00E3794D" w:rsidRDefault="00E3794D" w:rsidP="004500DF">
            <w:pPr>
              <w:pStyle w:val="CETBodytext"/>
              <w:ind w:right="-1"/>
              <w:rPr>
                <w:rFonts w:cs="Arial"/>
                <w:szCs w:val="18"/>
                <w:lang w:val="en-GB"/>
              </w:rPr>
            </w:pPr>
            <w:r w:rsidRPr="000D5E70">
              <w:rPr>
                <w:rFonts w:cs="Arial"/>
                <w:color w:val="000000" w:themeColor="text1"/>
                <w:szCs w:val="18"/>
              </w:rPr>
              <w:t>0.990</w:t>
            </w:r>
          </w:p>
        </w:tc>
        <w:tc>
          <w:tcPr>
            <w:tcW w:w="900" w:type="dxa"/>
            <w:tcBorders>
              <w:top w:val="nil"/>
              <w:left w:val="nil"/>
              <w:bottom w:val="nil"/>
              <w:right w:val="nil"/>
            </w:tcBorders>
            <w:shd w:val="clear" w:color="auto" w:fill="FFFFFF"/>
            <w:vAlign w:val="center"/>
          </w:tcPr>
          <w:p w14:paraId="253092C8" w14:textId="77777777" w:rsidR="00E3794D" w:rsidRDefault="00E3794D" w:rsidP="004500DF">
            <w:pPr>
              <w:pStyle w:val="CETBodytext"/>
              <w:ind w:right="-1"/>
              <w:rPr>
                <w:rFonts w:cs="Arial"/>
                <w:szCs w:val="18"/>
                <w:lang w:val="en-GB"/>
              </w:rPr>
            </w:pPr>
            <w:r w:rsidRPr="000D5E70">
              <w:rPr>
                <w:rFonts w:cs="Arial"/>
                <w:color w:val="000000" w:themeColor="text1"/>
                <w:szCs w:val="18"/>
              </w:rPr>
              <w:t>0.990</w:t>
            </w:r>
          </w:p>
        </w:tc>
        <w:tc>
          <w:tcPr>
            <w:tcW w:w="867" w:type="dxa"/>
            <w:tcBorders>
              <w:top w:val="nil"/>
              <w:left w:val="nil"/>
              <w:bottom w:val="nil"/>
              <w:right w:val="nil"/>
            </w:tcBorders>
            <w:shd w:val="clear" w:color="auto" w:fill="FFFFFF"/>
            <w:vAlign w:val="center"/>
          </w:tcPr>
          <w:p w14:paraId="537BCA70" w14:textId="77777777" w:rsidR="00E3794D" w:rsidRDefault="00E3794D" w:rsidP="004500DF">
            <w:pPr>
              <w:pStyle w:val="CETBodytext"/>
              <w:ind w:right="-1"/>
              <w:rPr>
                <w:rFonts w:cs="Arial"/>
                <w:szCs w:val="18"/>
                <w:lang w:val="en-GB"/>
              </w:rPr>
            </w:pPr>
            <w:r w:rsidRPr="000D5E70">
              <w:rPr>
                <w:rFonts w:cs="Arial"/>
                <w:color w:val="000000" w:themeColor="text1"/>
                <w:szCs w:val="18"/>
              </w:rPr>
              <w:t>1.005</w:t>
            </w:r>
          </w:p>
        </w:tc>
      </w:tr>
      <w:tr w:rsidR="00E3794D" w14:paraId="2003494D" w14:textId="77777777" w:rsidTr="004500DF">
        <w:tc>
          <w:tcPr>
            <w:tcW w:w="1170" w:type="dxa"/>
            <w:vMerge/>
            <w:tcBorders>
              <w:top w:val="nil"/>
              <w:left w:val="nil"/>
              <w:bottom w:val="nil"/>
              <w:right w:val="nil"/>
            </w:tcBorders>
            <w:shd w:val="clear" w:color="auto" w:fill="FFFFFF"/>
          </w:tcPr>
          <w:p w14:paraId="0155BFF1" w14:textId="77777777" w:rsidR="00E3794D" w:rsidRPr="000D5E70" w:rsidRDefault="00E3794D" w:rsidP="004500DF">
            <w:pPr>
              <w:pStyle w:val="CETBodytext"/>
              <w:ind w:right="-1"/>
              <w:rPr>
                <w:rFonts w:cs="Arial"/>
                <w:color w:val="000000" w:themeColor="text1"/>
                <w:szCs w:val="18"/>
              </w:rPr>
            </w:pPr>
          </w:p>
        </w:tc>
        <w:tc>
          <w:tcPr>
            <w:tcW w:w="1170" w:type="dxa"/>
            <w:tcBorders>
              <w:top w:val="nil"/>
              <w:left w:val="nil"/>
              <w:bottom w:val="nil"/>
              <w:right w:val="nil"/>
            </w:tcBorders>
            <w:shd w:val="clear" w:color="auto" w:fill="FFFFFF"/>
            <w:vAlign w:val="bottom"/>
          </w:tcPr>
          <w:p w14:paraId="51B14137" w14:textId="77777777" w:rsidR="00E3794D" w:rsidRDefault="00E3794D" w:rsidP="004500DF">
            <w:pPr>
              <w:pStyle w:val="CETBodytext"/>
              <w:ind w:right="-1"/>
              <w:rPr>
                <w:rFonts w:cs="Arial"/>
                <w:szCs w:val="18"/>
                <w:lang w:val="en-GB"/>
              </w:rPr>
            </w:pPr>
            <w:r w:rsidRPr="000D5E70">
              <w:rPr>
                <w:rFonts w:cs="Arial"/>
                <w:color w:val="000000" w:themeColor="text1"/>
                <w:szCs w:val="18"/>
              </w:rPr>
              <w:t>R</w:t>
            </w:r>
            <w:r w:rsidRPr="000D5E70">
              <w:rPr>
                <w:rFonts w:cs="Arial"/>
                <w:color w:val="000000" w:themeColor="text1"/>
                <w:szCs w:val="18"/>
                <w:vertAlign w:val="superscript"/>
              </w:rPr>
              <w:t>2</w:t>
            </w:r>
          </w:p>
        </w:tc>
        <w:tc>
          <w:tcPr>
            <w:tcW w:w="810" w:type="dxa"/>
            <w:tcBorders>
              <w:top w:val="nil"/>
              <w:left w:val="nil"/>
              <w:bottom w:val="nil"/>
              <w:right w:val="nil"/>
            </w:tcBorders>
            <w:shd w:val="clear" w:color="auto" w:fill="FFFFFF"/>
            <w:vAlign w:val="bottom"/>
          </w:tcPr>
          <w:p w14:paraId="181FAB75" w14:textId="77777777" w:rsidR="00E3794D" w:rsidRDefault="00E3794D" w:rsidP="004500DF">
            <w:pPr>
              <w:pStyle w:val="CETBodytext"/>
              <w:ind w:right="-1"/>
              <w:rPr>
                <w:rFonts w:cs="Arial"/>
                <w:szCs w:val="18"/>
                <w:lang w:val="en-GB"/>
              </w:rPr>
            </w:pPr>
            <w:r w:rsidRPr="000D5E70">
              <w:rPr>
                <w:rFonts w:cs="Arial"/>
                <w:color w:val="000000" w:themeColor="text1"/>
                <w:szCs w:val="18"/>
              </w:rPr>
              <w:t>0.999</w:t>
            </w:r>
          </w:p>
        </w:tc>
        <w:tc>
          <w:tcPr>
            <w:tcW w:w="810" w:type="dxa"/>
            <w:tcBorders>
              <w:top w:val="nil"/>
              <w:left w:val="nil"/>
              <w:bottom w:val="nil"/>
              <w:right w:val="nil"/>
            </w:tcBorders>
            <w:shd w:val="clear" w:color="auto" w:fill="FFFFFF"/>
            <w:vAlign w:val="bottom"/>
          </w:tcPr>
          <w:p w14:paraId="12016998" w14:textId="77777777" w:rsidR="00E3794D" w:rsidRDefault="00E3794D" w:rsidP="004500DF">
            <w:pPr>
              <w:pStyle w:val="CETBodytext"/>
              <w:ind w:right="-1"/>
              <w:rPr>
                <w:rFonts w:cs="Arial"/>
                <w:szCs w:val="18"/>
                <w:lang w:val="en-GB"/>
              </w:rPr>
            </w:pPr>
            <w:r w:rsidRPr="000D5E70">
              <w:rPr>
                <w:rFonts w:cs="Arial"/>
                <w:color w:val="000000" w:themeColor="text1"/>
                <w:szCs w:val="18"/>
              </w:rPr>
              <w:t>0.998</w:t>
            </w:r>
          </w:p>
        </w:tc>
        <w:tc>
          <w:tcPr>
            <w:tcW w:w="720" w:type="dxa"/>
            <w:tcBorders>
              <w:top w:val="nil"/>
              <w:left w:val="nil"/>
              <w:bottom w:val="nil"/>
              <w:right w:val="nil"/>
            </w:tcBorders>
            <w:shd w:val="clear" w:color="auto" w:fill="FFFFFF"/>
            <w:vAlign w:val="bottom"/>
          </w:tcPr>
          <w:p w14:paraId="5B3CA7A3" w14:textId="77777777" w:rsidR="00E3794D" w:rsidRDefault="00E3794D" w:rsidP="004500DF">
            <w:pPr>
              <w:pStyle w:val="CETBodytext"/>
              <w:ind w:right="-1"/>
              <w:rPr>
                <w:rFonts w:cs="Arial"/>
                <w:szCs w:val="18"/>
                <w:lang w:val="en-GB"/>
              </w:rPr>
            </w:pPr>
            <w:r w:rsidRPr="000D5E70">
              <w:rPr>
                <w:rFonts w:cs="Arial"/>
                <w:color w:val="000000" w:themeColor="text1"/>
                <w:szCs w:val="18"/>
              </w:rPr>
              <w:t>0.999</w:t>
            </w:r>
          </w:p>
        </w:tc>
        <w:tc>
          <w:tcPr>
            <w:tcW w:w="900" w:type="dxa"/>
            <w:tcBorders>
              <w:top w:val="nil"/>
              <w:left w:val="nil"/>
              <w:bottom w:val="nil"/>
              <w:right w:val="nil"/>
            </w:tcBorders>
            <w:shd w:val="clear" w:color="auto" w:fill="FFFFFF"/>
            <w:vAlign w:val="bottom"/>
          </w:tcPr>
          <w:p w14:paraId="40F7F3A1" w14:textId="77777777" w:rsidR="00E3794D" w:rsidRDefault="00E3794D" w:rsidP="004500DF">
            <w:pPr>
              <w:pStyle w:val="CETBodytext"/>
              <w:ind w:right="-1"/>
              <w:rPr>
                <w:rFonts w:cs="Arial"/>
                <w:szCs w:val="18"/>
                <w:lang w:val="en-GB"/>
              </w:rPr>
            </w:pPr>
            <w:r w:rsidRPr="000D5E70">
              <w:rPr>
                <w:rFonts w:cs="Arial"/>
                <w:color w:val="000000" w:themeColor="text1"/>
                <w:szCs w:val="18"/>
              </w:rPr>
              <w:t>0.999</w:t>
            </w:r>
          </w:p>
        </w:tc>
        <w:tc>
          <w:tcPr>
            <w:tcW w:w="810" w:type="dxa"/>
            <w:tcBorders>
              <w:top w:val="nil"/>
              <w:left w:val="nil"/>
              <w:bottom w:val="nil"/>
              <w:right w:val="nil"/>
            </w:tcBorders>
            <w:shd w:val="clear" w:color="auto" w:fill="FFFFFF"/>
            <w:vAlign w:val="bottom"/>
          </w:tcPr>
          <w:p w14:paraId="034A320C" w14:textId="77777777" w:rsidR="00E3794D" w:rsidRDefault="00E3794D" w:rsidP="004500DF">
            <w:pPr>
              <w:pStyle w:val="CETBodytext"/>
              <w:ind w:right="-1"/>
              <w:rPr>
                <w:rFonts w:cs="Arial"/>
                <w:szCs w:val="18"/>
                <w:lang w:val="en-GB"/>
              </w:rPr>
            </w:pPr>
            <w:r w:rsidRPr="000D5E70">
              <w:rPr>
                <w:rFonts w:cs="Arial"/>
                <w:color w:val="000000" w:themeColor="text1"/>
                <w:szCs w:val="18"/>
              </w:rPr>
              <w:t>0.998</w:t>
            </w:r>
          </w:p>
        </w:tc>
        <w:tc>
          <w:tcPr>
            <w:tcW w:w="720" w:type="dxa"/>
            <w:tcBorders>
              <w:top w:val="nil"/>
              <w:left w:val="nil"/>
              <w:bottom w:val="nil"/>
              <w:right w:val="nil"/>
            </w:tcBorders>
            <w:shd w:val="clear" w:color="auto" w:fill="FFFFFF"/>
            <w:vAlign w:val="bottom"/>
          </w:tcPr>
          <w:p w14:paraId="506E9F92" w14:textId="77777777" w:rsidR="00E3794D" w:rsidRDefault="00E3794D" w:rsidP="004500DF">
            <w:pPr>
              <w:pStyle w:val="CETBodytext"/>
              <w:ind w:right="-1"/>
              <w:rPr>
                <w:rFonts w:cs="Arial"/>
                <w:szCs w:val="18"/>
                <w:lang w:val="en-GB"/>
              </w:rPr>
            </w:pPr>
            <w:r w:rsidRPr="000D5E70">
              <w:rPr>
                <w:rFonts w:cs="Arial"/>
                <w:color w:val="000000" w:themeColor="text1"/>
                <w:szCs w:val="18"/>
              </w:rPr>
              <w:t>0.997</w:t>
            </w:r>
          </w:p>
        </w:tc>
        <w:tc>
          <w:tcPr>
            <w:tcW w:w="900" w:type="dxa"/>
            <w:tcBorders>
              <w:top w:val="nil"/>
              <w:left w:val="nil"/>
              <w:bottom w:val="nil"/>
              <w:right w:val="nil"/>
            </w:tcBorders>
            <w:shd w:val="clear" w:color="auto" w:fill="FFFFFF"/>
            <w:vAlign w:val="center"/>
          </w:tcPr>
          <w:p w14:paraId="3EEC7A22" w14:textId="77777777" w:rsidR="00E3794D" w:rsidRDefault="00E3794D" w:rsidP="004500DF">
            <w:pPr>
              <w:pStyle w:val="CETBodytext"/>
              <w:ind w:right="-1"/>
              <w:rPr>
                <w:rFonts w:cs="Arial"/>
                <w:szCs w:val="18"/>
                <w:lang w:val="en-GB"/>
              </w:rPr>
            </w:pPr>
            <w:r w:rsidRPr="000D5E70">
              <w:rPr>
                <w:rFonts w:cs="Arial"/>
                <w:color w:val="000000" w:themeColor="text1"/>
                <w:szCs w:val="18"/>
              </w:rPr>
              <w:t>0.999</w:t>
            </w:r>
          </w:p>
        </w:tc>
        <w:tc>
          <w:tcPr>
            <w:tcW w:w="867" w:type="dxa"/>
            <w:tcBorders>
              <w:top w:val="nil"/>
              <w:left w:val="nil"/>
              <w:bottom w:val="nil"/>
              <w:right w:val="nil"/>
            </w:tcBorders>
            <w:shd w:val="clear" w:color="auto" w:fill="FFFFFF"/>
            <w:vAlign w:val="bottom"/>
          </w:tcPr>
          <w:p w14:paraId="11164FE2" w14:textId="77777777" w:rsidR="00E3794D" w:rsidRDefault="00E3794D" w:rsidP="004500DF">
            <w:pPr>
              <w:pStyle w:val="CETBodytext"/>
              <w:ind w:right="-1"/>
              <w:rPr>
                <w:rFonts w:cs="Arial"/>
                <w:szCs w:val="18"/>
                <w:lang w:val="en-GB"/>
              </w:rPr>
            </w:pPr>
            <w:r w:rsidRPr="000D5E70">
              <w:rPr>
                <w:rFonts w:cs="Arial"/>
                <w:color w:val="000000" w:themeColor="text1"/>
                <w:szCs w:val="18"/>
              </w:rPr>
              <w:t>0.998</w:t>
            </w:r>
          </w:p>
        </w:tc>
      </w:tr>
      <w:tr w:rsidR="00E3794D" w14:paraId="61DCFF9A" w14:textId="77777777" w:rsidTr="004500DF">
        <w:tc>
          <w:tcPr>
            <w:tcW w:w="1170" w:type="dxa"/>
            <w:vMerge/>
            <w:tcBorders>
              <w:top w:val="nil"/>
              <w:left w:val="nil"/>
              <w:bottom w:val="single" w:sz="6" w:space="0" w:color="008000"/>
              <w:right w:val="nil"/>
            </w:tcBorders>
            <w:shd w:val="clear" w:color="auto" w:fill="FFFFFF"/>
          </w:tcPr>
          <w:p w14:paraId="391FCB4A" w14:textId="77777777" w:rsidR="00E3794D" w:rsidRPr="000D5E70" w:rsidRDefault="00E3794D" w:rsidP="004500DF">
            <w:pPr>
              <w:pStyle w:val="CETBodytext"/>
              <w:ind w:right="-1"/>
              <w:rPr>
                <w:rFonts w:cs="Arial"/>
                <w:color w:val="000000" w:themeColor="text1"/>
                <w:szCs w:val="18"/>
              </w:rPr>
            </w:pPr>
          </w:p>
        </w:tc>
        <w:tc>
          <w:tcPr>
            <w:tcW w:w="1170" w:type="dxa"/>
            <w:tcBorders>
              <w:top w:val="nil"/>
              <w:left w:val="nil"/>
              <w:bottom w:val="single" w:sz="6" w:space="0" w:color="008000"/>
              <w:right w:val="nil"/>
            </w:tcBorders>
            <w:shd w:val="clear" w:color="auto" w:fill="FFFFFF"/>
            <w:vAlign w:val="bottom"/>
          </w:tcPr>
          <w:p w14:paraId="13C6B831" w14:textId="77777777" w:rsidR="00E3794D" w:rsidRDefault="00E3794D" w:rsidP="004500DF">
            <w:pPr>
              <w:pStyle w:val="CETBodytext"/>
              <w:ind w:right="-1"/>
              <w:rPr>
                <w:rFonts w:cs="Arial"/>
                <w:szCs w:val="18"/>
                <w:lang w:val="en-GB"/>
              </w:rPr>
            </w:pPr>
            <w:r w:rsidRPr="000D5E70">
              <w:rPr>
                <w:rFonts w:cs="Arial"/>
                <w:color w:val="000000" w:themeColor="text1"/>
                <w:szCs w:val="18"/>
              </w:rPr>
              <w:t>E (%)</w:t>
            </w:r>
          </w:p>
        </w:tc>
        <w:tc>
          <w:tcPr>
            <w:tcW w:w="810" w:type="dxa"/>
            <w:tcBorders>
              <w:top w:val="nil"/>
              <w:left w:val="nil"/>
              <w:bottom w:val="single" w:sz="6" w:space="0" w:color="008000"/>
              <w:right w:val="nil"/>
            </w:tcBorders>
            <w:shd w:val="clear" w:color="auto" w:fill="FFFFFF"/>
            <w:vAlign w:val="bottom"/>
          </w:tcPr>
          <w:p w14:paraId="4994EF44" w14:textId="77777777" w:rsidR="00E3794D" w:rsidRDefault="00E3794D" w:rsidP="004500DF">
            <w:pPr>
              <w:pStyle w:val="CETBodytext"/>
              <w:ind w:right="-1"/>
              <w:rPr>
                <w:rFonts w:cs="Arial"/>
                <w:szCs w:val="18"/>
                <w:lang w:val="en-GB"/>
              </w:rPr>
            </w:pPr>
            <w:r w:rsidRPr="000D5E70">
              <w:rPr>
                <w:rFonts w:cs="Arial"/>
                <w:color w:val="000000" w:themeColor="text1"/>
                <w:szCs w:val="18"/>
              </w:rPr>
              <w:t>5.67</w:t>
            </w:r>
          </w:p>
        </w:tc>
        <w:tc>
          <w:tcPr>
            <w:tcW w:w="810" w:type="dxa"/>
            <w:tcBorders>
              <w:top w:val="nil"/>
              <w:left w:val="nil"/>
              <w:bottom w:val="single" w:sz="6" w:space="0" w:color="008000"/>
              <w:right w:val="nil"/>
            </w:tcBorders>
            <w:shd w:val="clear" w:color="auto" w:fill="FFFFFF"/>
            <w:vAlign w:val="bottom"/>
          </w:tcPr>
          <w:p w14:paraId="71ABD7C5" w14:textId="77777777" w:rsidR="00E3794D" w:rsidRDefault="00E3794D" w:rsidP="004500DF">
            <w:pPr>
              <w:pStyle w:val="CETBodytext"/>
              <w:ind w:right="-1"/>
              <w:rPr>
                <w:rFonts w:cs="Arial"/>
                <w:szCs w:val="18"/>
                <w:lang w:val="en-GB"/>
              </w:rPr>
            </w:pPr>
            <w:r w:rsidRPr="000D5E70">
              <w:rPr>
                <w:rFonts w:cs="Arial"/>
                <w:color w:val="000000" w:themeColor="text1"/>
                <w:szCs w:val="18"/>
              </w:rPr>
              <w:t>4.95</w:t>
            </w:r>
          </w:p>
        </w:tc>
        <w:tc>
          <w:tcPr>
            <w:tcW w:w="720" w:type="dxa"/>
            <w:tcBorders>
              <w:top w:val="nil"/>
              <w:left w:val="nil"/>
              <w:bottom w:val="single" w:sz="6" w:space="0" w:color="008000"/>
              <w:right w:val="nil"/>
            </w:tcBorders>
            <w:shd w:val="clear" w:color="auto" w:fill="FFFFFF"/>
            <w:vAlign w:val="bottom"/>
          </w:tcPr>
          <w:p w14:paraId="68819920" w14:textId="77777777" w:rsidR="00E3794D" w:rsidRDefault="00E3794D" w:rsidP="004500DF">
            <w:pPr>
              <w:pStyle w:val="CETBodytext"/>
              <w:ind w:right="-1"/>
              <w:rPr>
                <w:rFonts w:cs="Arial"/>
                <w:szCs w:val="18"/>
                <w:lang w:val="en-GB"/>
              </w:rPr>
            </w:pPr>
            <w:r w:rsidRPr="000D5E70">
              <w:rPr>
                <w:rFonts w:cs="Arial"/>
                <w:color w:val="000000" w:themeColor="text1"/>
                <w:szCs w:val="18"/>
              </w:rPr>
              <w:t>7.90</w:t>
            </w:r>
          </w:p>
        </w:tc>
        <w:tc>
          <w:tcPr>
            <w:tcW w:w="900" w:type="dxa"/>
            <w:tcBorders>
              <w:top w:val="nil"/>
              <w:left w:val="nil"/>
              <w:bottom w:val="single" w:sz="6" w:space="0" w:color="008000"/>
              <w:right w:val="nil"/>
            </w:tcBorders>
            <w:shd w:val="clear" w:color="auto" w:fill="FFFFFF"/>
            <w:vAlign w:val="bottom"/>
          </w:tcPr>
          <w:p w14:paraId="4EDC4481" w14:textId="77777777" w:rsidR="00E3794D" w:rsidRDefault="00E3794D" w:rsidP="004500DF">
            <w:pPr>
              <w:pStyle w:val="CETBodytext"/>
              <w:ind w:right="-1"/>
              <w:rPr>
                <w:rFonts w:cs="Arial"/>
                <w:szCs w:val="18"/>
                <w:lang w:val="en-GB"/>
              </w:rPr>
            </w:pPr>
            <w:r w:rsidRPr="000D5E70">
              <w:rPr>
                <w:rFonts w:cs="Arial"/>
                <w:color w:val="000000" w:themeColor="text1"/>
                <w:szCs w:val="18"/>
              </w:rPr>
              <w:t>2.91</w:t>
            </w:r>
          </w:p>
        </w:tc>
        <w:tc>
          <w:tcPr>
            <w:tcW w:w="810" w:type="dxa"/>
            <w:tcBorders>
              <w:top w:val="nil"/>
              <w:left w:val="nil"/>
              <w:bottom w:val="single" w:sz="6" w:space="0" w:color="008000"/>
              <w:right w:val="nil"/>
            </w:tcBorders>
            <w:shd w:val="clear" w:color="auto" w:fill="FFFFFF"/>
            <w:vAlign w:val="bottom"/>
          </w:tcPr>
          <w:p w14:paraId="733CE792" w14:textId="77777777" w:rsidR="00E3794D" w:rsidRDefault="00E3794D" w:rsidP="004500DF">
            <w:pPr>
              <w:pStyle w:val="CETBodytext"/>
              <w:ind w:right="-1"/>
              <w:rPr>
                <w:rFonts w:cs="Arial"/>
                <w:szCs w:val="18"/>
                <w:lang w:val="en-GB"/>
              </w:rPr>
            </w:pPr>
            <w:r w:rsidRPr="000D5E70">
              <w:rPr>
                <w:rFonts w:cs="Arial"/>
                <w:color w:val="000000" w:themeColor="text1"/>
                <w:szCs w:val="18"/>
              </w:rPr>
              <w:t>5.62</w:t>
            </w:r>
          </w:p>
        </w:tc>
        <w:tc>
          <w:tcPr>
            <w:tcW w:w="720" w:type="dxa"/>
            <w:tcBorders>
              <w:top w:val="nil"/>
              <w:left w:val="nil"/>
              <w:bottom w:val="single" w:sz="6" w:space="0" w:color="008000"/>
              <w:right w:val="nil"/>
            </w:tcBorders>
            <w:shd w:val="clear" w:color="auto" w:fill="FFFFFF"/>
            <w:vAlign w:val="bottom"/>
          </w:tcPr>
          <w:p w14:paraId="028CBCA9" w14:textId="77777777" w:rsidR="00E3794D" w:rsidRDefault="00E3794D" w:rsidP="004500DF">
            <w:pPr>
              <w:pStyle w:val="CETBodytext"/>
              <w:ind w:right="-1"/>
              <w:rPr>
                <w:rFonts w:cs="Arial"/>
                <w:szCs w:val="18"/>
                <w:lang w:val="en-GB"/>
              </w:rPr>
            </w:pPr>
            <w:r w:rsidRPr="000D5E70">
              <w:rPr>
                <w:rFonts w:cs="Arial"/>
                <w:color w:val="000000" w:themeColor="text1"/>
                <w:szCs w:val="18"/>
              </w:rPr>
              <w:t>3.58</w:t>
            </w:r>
          </w:p>
        </w:tc>
        <w:tc>
          <w:tcPr>
            <w:tcW w:w="900" w:type="dxa"/>
            <w:tcBorders>
              <w:top w:val="nil"/>
              <w:left w:val="nil"/>
              <w:bottom w:val="single" w:sz="6" w:space="0" w:color="008000"/>
              <w:right w:val="nil"/>
            </w:tcBorders>
            <w:shd w:val="clear" w:color="auto" w:fill="FFFFFF"/>
            <w:vAlign w:val="bottom"/>
          </w:tcPr>
          <w:p w14:paraId="6C2E532B" w14:textId="77777777" w:rsidR="00E3794D" w:rsidRDefault="00E3794D" w:rsidP="004500DF">
            <w:pPr>
              <w:pStyle w:val="CETBodytext"/>
              <w:ind w:right="-1"/>
              <w:rPr>
                <w:rFonts w:cs="Arial"/>
                <w:szCs w:val="18"/>
                <w:lang w:val="en-GB"/>
              </w:rPr>
            </w:pPr>
            <w:r w:rsidRPr="000D5E70">
              <w:rPr>
                <w:rFonts w:cs="Arial"/>
                <w:color w:val="000000" w:themeColor="text1"/>
                <w:szCs w:val="18"/>
              </w:rPr>
              <w:t>1.63</w:t>
            </w:r>
          </w:p>
        </w:tc>
        <w:tc>
          <w:tcPr>
            <w:tcW w:w="867" w:type="dxa"/>
            <w:tcBorders>
              <w:top w:val="nil"/>
              <w:left w:val="nil"/>
              <w:bottom w:val="single" w:sz="6" w:space="0" w:color="008000"/>
              <w:right w:val="nil"/>
            </w:tcBorders>
            <w:shd w:val="clear" w:color="auto" w:fill="FFFFFF"/>
            <w:vAlign w:val="bottom"/>
          </w:tcPr>
          <w:p w14:paraId="4839862B" w14:textId="77777777" w:rsidR="00E3794D" w:rsidRDefault="00E3794D" w:rsidP="004500DF">
            <w:pPr>
              <w:pStyle w:val="CETBodytext"/>
              <w:ind w:right="-1"/>
              <w:rPr>
                <w:rFonts w:cs="Arial"/>
                <w:szCs w:val="18"/>
                <w:lang w:val="en-GB"/>
              </w:rPr>
            </w:pPr>
            <w:r w:rsidRPr="000D5E70">
              <w:rPr>
                <w:rFonts w:cs="Arial"/>
                <w:color w:val="000000" w:themeColor="text1"/>
                <w:szCs w:val="18"/>
              </w:rPr>
              <w:t>4.62</w:t>
            </w:r>
          </w:p>
        </w:tc>
      </w:tr>
      <w:tr w:rsidR="00E3794D" w14:paraId="0AB8B539" w14:textId="77777777" w:rsidTr="004500DF">
        <w:tc>
          <w:tcPr>
            <w:tcW w:w="1170" w:type="dxa"/>
            <w:vMerge w:val="restart"/>
            <w:tcBorders>
              <w:top w:val="single" w:sz="6" w:space="0" w:color="008000"/>
              <w:left w:val="nil"/>
              <w:bottom w:val="nil"/>
              <w:right w:val="nil"/>
            </w:tcBorders>
            <w:shd w:val="clear" w:color="auto" w:fill="FFFFFF"/>
          </w:tcPr>
          <w:p w14:paraId="7646AAEE" w14:textId="77777777" w:rsidR="00E3794D" w:rsidRPr="000D5E70" w:rsidRDefault="00E3794D" w:rsidP="004500DF">
            <w:pPr>
              <w:pStyle w:val="CETBodytext"/>
              <w:ind w:right="-1"/>
              <w:rPr>
                <w:rFonts w:cs="Arial"/>
                <w:color w:val="000000" w:themeColor="text1"/>
                <w:szCs w:val="18"/>
              </w:rPr>
            </w:pPr>
            <w:r>
              <w:rPr>
                <w:rFonts w:cs="Arial"/>
                <w:color w:val="000000" w:themeColor="text1"/>
                <w:szCs w:val="18"/>
              </w:rPr>
              <w:t>BET</w:t>
            </w:r>
          </w:p>
        </w:tc>
        <w:tc>
          <w:tcPr>
            <w:tcW w:w="1170" w:type="dxa"/>
            <w:tcBorders>
              <w:top w:val="single" w:sz="6" w:space="0" w:color="008000"/>
              <w:left w:val="nil"/>
              <w:bottom w:val="nil"/>
              <w:right w:val="nil"/>
            </w:tcBorders>
            <w:shd w:val="clear" w:color="auto" w:fill="FFFFFF"/>
            <w:vAlign w:val="bottom"/>
          </w:tcPr>
          <w:p w14:paraId="1018738F" w14:textId="77777777" w:rsidR="00E3794D" w:rsidRDefault="00E3794D" w:rsidP="004500DF">
            <w:pPr>
              <w:pStyle w:val="CETBodytext"/>
              <w:ind w:right="-1"/>
              <w:rPr>
                <w:rFonts w:cs="Arial"/>
                <w:szCs w:val="18"/>
                <w:lang w:val="en-GB"/>
              </w:rPr>
            </w:pPr>
            <w:r w:rsidRPr="000D5E70">
              <w:rPr>
                <w:rFonts w:cs="Arial"/>
                <w:color w:val="000000" w:themeColor="text1"/>
                <w:szCs w:val="18"/>
              </w:rPr>
              <w:t>Xm</w:t>
            </w:r>
          </w:p>
        </w:tc>
        <w:tc>
          <w:tcPr>
            <w:tcW w:w="810" w:type="dxa"/>
            <w:tcBorders>
              <w:top w:val="single" w:sz="6" w:space="0" w:color="008000"/>
              <w:left w:val="nil"/>
              <w:bottom w:val="nil"/>
              <w:right w:val="nil"/>
            </w:tcBorders>
            <w:shd w:val="clear" w:color="auto" w:fill="FFFFFF"/>
            <w:vAlign w:val="center"/>
          </w:tcPr>
          <w:p w14:paraId="1515FB9C" w14:textId="77777777" w:rsidR="00E3794D" w:rsidRDefault="00E3794D" w:rsidP="004500DF">
            <w:pPr>
              <w:pStyle w:val="CETBodytext"/>
              <w:ind w:right="-1"/>
              <w:rPr>
                <w:rFonts w:cs="Arial"/>
                <w:szCs w:val="18"/>
                <w:lang w:val="en-GB"/>
              </w:rPr>
            </w:pPr>
            <w:r w:rsidRPr="000D5E70">
              <w:rPr>
                <w:rFonts w:cs="Arial"/>
                <w:color w:val="000000" w:themeColor="text1"/>
                <w:szCs w:val="18"/>
              </w:rPr>
              <w:t>0.036</w:t>
            </w:r>
          </w:p>
        </w:tc>
        <w:tc>
          <w:tcPr>
            <w:tcW w:w="810" w:type="dxa"/>
            <w:tcBorders>
              <w:top w:val="single" w:sz="6" w:space="0" w:color="008000"/>
              <w:left w:val="nil"/>
              <w:bottom w:val="nil"/>
              <w:right w:val="nil"/>
            </w:tcBorders>
            <w:shd w:val="clear" w:color="auto" w:fill="FFFFFF"/>
            <w:vAlign w:val="center"/>
          </w:tcPr>
          <w:p w14:paraId="07624E2A" w14:textId="77777777" w:rsidR="00E3794D" w:rsidRDefault="00E3794D" w:rsidP="004500DF">
            <w:pPr>
              <w:pStyle w:val="CETBodytext"/>
              <w:ind w:right="-1"/>
              <w:rPr>
                <w:rFonts w:cs="Arial"/>
                <w:szCs w:val="18"/>
                <w:lang w:val="en-GB"/>
              </w:rPr>
            </w:pPr>
            <w:r w:rsidRPr="000D5E70">
              <w:rPr>
                <w:rFonts w:cs="Arial"/>
                <w:color w:val="000000" w:themeColor="text1"/>
                <w:szCs w:val="18"/>
              </w:rPr>
              <w:t>0.134</w:t>
            </w:r>
          </w:p>
        </w:tc>
        <w:tc>
          <w:tcPr>
            <w:tcW w:w="720" w:type="dxa"/>
            <w:tcBorders>
              <w:top w:val="single" w:sz="6" w:space="0" w:color="008000"/>
              <w:left w:val="nil"/>
              <w:bottom w:val="nil"/>
              <w:right w:val="nil"/>
            </w:tcBorders>
            <w:shd w:val="clear" w:color="auto" w:fill="FFFFFF"/>
            <w:vAlign w:val="center"/>
          </w:tcPr>
          <w:p w14:paraId="615D6777" w14:textId="77777777" w:rsidR="00E3794D" w:rsidRDefault="00E3794D" w:rsidP="004500DF">
            <w:pPr>
              <w:pStyle w:val="CETBodytext"/>
              <w:ind w:right="-1"/>
              <w:rPr>
                <w:rFonts w:cs="Arial"/>
                <w:szCs w:val="18"/>
                <w:lang w:val="en-GB"/>
              </w:rPr>
            </w:pPr>
            <w:r w:rsidRPr="000D5E70">
              <w:rPr>
                <w:rFonts w:cs="Arial"/>
                <w:color w:val="000000" w:themeColor="text1"/>
                <w:szCs w:val="18"/>
              </w:rPr>
              <w:t>0.196</w:t>
            </w:r>
          </w:p>
        </w:tc>
        <w:tc>
          <w:tcPr>
            <w:tcW w:w="900" w:type="dxa"/>
            <w:tcBorders>
              <w:top w:val="single" w:sz="6" w:space="0" w:color="008000"/>
              <w:left w:val="nil"/>
              <w:bottom w:val="nil"/>
              <w:right w:val="nil"/>
            </w:tcBorders>
            <w:shd w:val="clear" w:color="auto" w:fill="FFFFFF"/>
            <w:vAlign w:val="center"/>
          </w:tcPr>
          <w:p w14:paraId="575721A3" w14:textId="77777777" w:rsidR="00E3794D" w:rsidRDefault="00E3794D" w:rsidP="004500DF">
            <w:pPr>
              <w:pStyle w:val="CETBodytext"/>
              <w:ind w:right="-1"/>
              <w:rPr>
                <w:rFonts w:cs="Arial"/>
                <w:szCs w:val="18"/>
                <w:lang w:val="en-GB"/>
              </w:rPr>
            </w:pPr>
            <w:r w:rsidRPr="000D5E70">
              <w:rPr>
                <w:rFonts w:cs="Arial"/>
                <w:color w:val="000000" w:themeColor="text1"/>
                <w:szCs w:val="18"/>
              </w:rPr>
              <w:t>0.126</w:t>
            </w:r>
          </w:p>
        </w:tc>
        <w:tc>
          <w:tcPr>
            <w:tcW w:w="810" w:type="dxa"/>
            <w:tcBorders>
              <w:top w:val="single" w:sz="6" w:space="0" w:color="008000"/>
              <w:left w:val="nil"/>
              <w:bottom w:val="nil"/>
              <w:right w:val="nil"/>
            </w:tcBorders>
            <w:shd w:val="clear" w:color="auto" w:fill="FFFFFF"/>
            <w:vAlign w:val="center"/>
          </w:tcPr>
          <w:p w14:paraId="44B24926" w14:textId="77777777" w:rsidR="00E3794D" w:rsidRDefault="00E3794D" w:rsidP="004500DF">
            <w:pPr>
              <w:pStyle w:val="CETBodytext"/>
              <w:ind w:right="-1"/>
              <w:rPr>
                <w:rFonts w:cs="Arial"/>
                <w:szCs w:val="18"/>
                <w:lang w:val="en-GB"/>
              </w:rPr>
            </w:pPr>
            <w:r w:rsidRPr="000D5E70">
              <w:rPr>
                <w:rFonts w:cs="Arial"/>
                <w:color w:val="000000" w:themeColor="text1"/>
                <w:szCs w:val="18"/>
              </w:rPr>
              <w:t>0.538</w:t>
            </w:r>
          </w:p>
        </w:tc>
        <w:tc>
          <w:tcPr>
            <w:tcW w:w="720" w:type="dxa"/>
            <w:tcBorders>
              <w:top w:val="single" w:sz="6" w:space="0" w:color="008000"/>
              <w:left w:val="nil"/>
              <w:bottom w:val="nil"/>
              <w:right w:val="nil"/>
            </w:tcBorders>
            <w:shd w:val="clear" w:color="auto" w:fill="FFFFFF"/>
            <w:vAlign w:val="center"/>
          </w:tcPr>
          <w:p w14:paraId="06AD15F8" w14:textId="77777777" w:rsidR="00E3794D" w:rsidRDefault="00E3794D" w:rsidP="004500DF">
            <w:pPr>
              <w:pStyle w:val="CETBodytext"/>
              <w:ind w:right="-1"/>
              <w:rPr>
                <w:rFonts w:cs="Arial"/>
                <w:szCs w:val="18"/>
                <w:lang w:val="en-GB"/>
              </w:rPr>
            </w:pPr>
            <w:r w:rsidRPr="000D5E70">
              <w:rPr>
                <w:rFonts w:cs="Arial"/>
                <w:color w:val="000000" w:themeColor="text1"/>
                <w:szCs w:val="18"/>
              </w:rPr>
              <w:t>0.088</w:t>
            </w:r>
          </w:p>
        </w:tc>
        <w:tc>
          <w:tcPr>
            <w:tcW w:w="900" w:type="dxa"/>
            <w:tcBorders>
              <w:top w:val="single" w:sz="6" w:space="0" w:color="008000"/>
              <w:left w:val="nil"/>
              <w:bottom w:val="nil"/>
              <w:right w:val="nil"/>
            </w:tcBorders>
            <w:shd w:val="clear" w:color="auto" w:fill="FFFFFF"/>
            <w:vAlign w:val="center"/>
          </w:tcPr>
          <w:p w14:paraId="3930726F" w14:textId="77777777" w:rsidR="00E3794D" w:rsidRDefault="00E3794D" w:rsidP="004500DF">
            <w:pPr>
              <w:pStyle w:val="CETBodytext"/>
              <w:ind w:right="-1"/>
              <w:rPr>
                <w:rFonts w:cs="Arial"/>
                <w:szCs w:val="18"/>
                <w:lang w:val="en-GB"/>
              </w:rPr>
            </w:pPr>
            <w:r w:rsidRPr="000D5E70">
              <w:rPr>
                <w:rFonts w:cs="Arial"/>
                <w:color w:val="000000" w:themeColor="text1"/>
                <w:szCs w:val="18"/>
              </w:rPr>
              <w:t>0.280</w:t>
            </w:r>
          </w:p>
        </w:tc>
        <w:tc>
          <w:tcPr>
            <w:tcW w:w="867" w:type="dxa"/>
            <w:tcBorders>
              <w:top w:val="single" w:sz="6" w:space="0" w:color="008000"/>
              <w:left w:val="nil"/>
              <w:bottom w:val="nil"/>
              <w:right w:val="nil"/>
            </w:tcBorders>
            <w:shd w:val="clear" w:color="auto" w:fill="FFFFFF"/>
            <w:vAlign w:val="center"/>
          </w:tcPr>
          <w:p w14:paraId="12A2CDAA" w14:textId="77777777" w:rsidR="00E3794D" w:rsidRDefault="00E3794D" w:rsidP="004500DF">
            <w:pPr>
              <w:pStyle w:val="CETBodytext"/>
              <w:ind w:right="-1"/>
              <w:rPr>
                <w:rFonts w:cs="Arial"/>
                <w:szCs w:val="18"/>
                <w:lang w:val="en-GB"/>
              </w:rPr>
            </w:pPr>
            <w:r w:rsidRPr="000D5E70">
              <w:rPr>
                <w:rFonts w:cs="Arial"/>
                <w:color w:val="000000" w:themeColor="text1"/>
                <w:szCs w:val="18"/>
              </w:rPr>
              <w:t>0.092</w:t>
            </w:r>
          </w:p>
        </w:tc>
      </w:tr>
      <w:tr w:rsidR="00E3794D" w14:paraId="245BA834" w14:textId="77777777" w:rsidTr="004500DF">
        <w:tc>
          <w:tcPr>
            <w:tcW w:w="1170" w:type="dxa"/>
            <w:vMerge/>
            <w:tcBorders>
              <w:top w:val="nil"/>
              <w:left w:val="nil"/>
              <w:bottom w:val="nil"/>
              <w:right w:val="nil"/>
            </w:tcBorders>
            <w:shd w:val="clear" w:color="auto" w:fill="FFFFFF"/>
          </w:tcPr>
          <w:p w14:paraId="6B0D039A" w14:textId="77777777" w:rsidR="00E3794D" w:rsidRPr="000D5E70" w:rsidRDefault="00E3794D" w:rsidP="004500DF">
            <w:pPr>
              <w:pStyle w:val="CETBodytext"/>
              <w:ind w:right="-1"/>
              <w:rPr>
                <w:rFonts w:cs="Arial"/>
                <w:color w:val="000000" w:themeColor="text1"/>
                <w:szCs w:val="18"/>
              </w:rPr>
            </w:pPr>
          </w:p>
        </w:tc>
        <w:tc>
          <w:tcPr>
            <w:tcW w:w="1170" w:type="dxa"/>
            <w:tcBorders>
              <w:top w:val="nil"/>
              <w:left w:val="nil"/>
              <w:bottom w:val="nil"/>
              <w:right w:val="nil"/>
            </w:tcBorders>
            <w:shd w:val="clear" w:color="auto" w:fill="FFFFFF"/>
            <w:vAlign w:val="bottom"/>
          </w:tcPr>
          <w:p w14:paraId="6D50181D" w14:textId="77777777" w:rsidR="00E3794D" w:rsidRDefault="00E3794D" w:rsidP="004500DF">
            <w:pPr>
              <w:pStyle w:val="CETBodytext"/>
              <w:ind w:right="-1"/>
              <w:rPr>
                <w:rFonts w:cs="Arial"/>
                <w:szCs w:val="18"/>
                <w:lang w:val="en-GB"/>
              </w:rPr>
            </w:pPr>
            <w:r w:rsidRPr="000D5E70">
              <w:rPr>
                <w:rFonts w:cs="Arial"/>
                <w:color w:val="000000" w:themeColor="text1"/>
                <w:szCs w:val="18"/>
              </w:rPr>
              <w:t>C</w:t>
            </w:r>
          </w:p>
        </w:tc>
        <w:tc>
          <w:tcPr>
            <w:tcW w:w="810" w:type="dxa"/>
            <w:tcBorders>
              <w:top w:val="nil"/>
              <w:left w:val="nil"/>
              <w:bottom w:val="nil"/>
              <w:right w:val="nil"/>
            </w:tcBorders>
            <w:shd w:val="clear" w:color="auto" w:fill="FFFFFF"/>
            <w:vAlign w:val="center"/>
          </w:tcPr>
          <w:p w14:paraId="34BA0367" w14:textId="77777777" w:rsidR="00E3794D" w:rsidRDefault="00E3794D" w:rsidP="004500DF">
            <w:pPr>
              <w:pStyle w:val="CETBodytext"/>
              <w:ind w:right="-1"/>
              <w:rPr>
                <w:rFonts w:cs="Arial"/>
                <w:szCs w:val="18"/>
                <w:lang w:val="en-GB"/>
              </w:rPr>
            </w:pPr>
            <w:r w:rsidRPr="000D5E70">
              <w:rPr>
                <w:rFonts w:cs="Arial"/>
                <w:color w:val="000000" w:themeColor="text1"/>
                <w:szCs w:val="18"/>
              </w:rPr>
              <w:t>1890.6</w:t>
            </w:r>
          </w:p>
        </w:tc>
        <w:tc>
          <w:tcPr>
            <w:tcW w:w="810" w:type="dxa"/>
            <w:tcBorders>
              <w:top w:val="nil"/>
              <w:left w:val="nil"/>
              <w:bottom w:val="nil"/>
              <w:right w:val="nil"/>
            </w:tcBorders>
            <w:shd w:val="clear" w:color="auto" w:fill="FFFFFF"/>
            <w:vAlign w:val="center"/>
          </w:tcPr>
          <w:p w14:paraId="5F214B6D" w14:textId="77777777" w:rsidR="00E3794D" w:rsidRDefault="00E3794D" w:rsidP="004500DF">
            <w:pPr>
              <w:pStyle w:val="CETBodytext"/>
              <w:ind w:right="-1"/>
              <w:rPr>
                <w:rFonts w:cs="Arial"/>
                <w:szCs w:val="18"/>
                <w:lang w:val="en-GB"/>
              </w:rPr>
            </w:pPr>
            <w:r w:rsidRPr="000D5E70">
              <w:rPr>
                <w:rFonts w:cs="Arial"/>
                <w:color w:val="000000" w:themeColor="text1"/>
                <w:szCs w:val="18"/>
              </w:rPr>
              <w:t>1.260</w:t>
            </w:r>
          </w:p>
        </w:tc>
        <w:tc>
          <w:tcPr>
            <w:tcW w:w="720" w:type="dxa"/>
            <w:tcBorders>
              <w:top w:val="nil"/>
              <w:left w:val="nil"/>
              <w:bottom w:val="nil"/>
              <w:right w:val="nil"/>
            </w:tcBorders>
            <w:shd w:val="clear" w:color="auto" w:fill="FFFFFF"/>
            <w:vAlign w:val="center"/>
          </w:tcPr>
          <w:p w14:paraId="1B57799B" w14:textId="77777777" w:rsidR="00E3794D" w:rsidRDefault="00E3794D" w:rsidP="004500DF">
            <w:pPr>
              <w:pStyle w:val="CETBodytext"/>
              <w:ind w:right="-1"/>
              <w:rPr>
                <w:rFonts w:cs="Arial"/>
                <w:szCs w:val="18"/>
                <w:lang w:val="en-GB"/>
              </w:rPr>
            </w:pPr>
            <w:r w:rsidRPr="000D5E70">
              <w:rPr>
                <w:rFonts w:cs="Arial"/>
                <w:color w:val="000000" w:themeColor="text1"/>
                <w:szCs w:val="18"/>
              </w:rPr>
              <w:t>5673.7</w:t>
            </w:r>
          </w:p>
        </w:tc>
        <w:tc>
          <w:tcPr>
            <w:tcW w:w="900" w:type="dxa"/>
            <w:tcBorders>
              <w:top w:val="nil"/>
              <w:left w:val="nil"/>
              <w:bottom w:val="nil"/>
              <w:right w:val="nil"/>
            </w:tcBorders>
            <w:shd w:val="clear" w:color="auto" w:fill="FFFFFF"/>
            <w:vAlign w:val="center"/>
          </w:tcPr>
          <w:p w14:paraId="05E0DD18" w14:textId="77777777" w:rsidR="00E3794D" w:rsidRDefault="00E3794D" w:rsidP="004500DF">
            <w:pPr>
              <w:pStyle w:val="CETBodytext"/>
              <w:ind w:right="-1"/>
              <w:rPr>
                <w:rFonts w:cs="Arial"/>
                <w:szCs w:val="18"/>
                <w:lang w:val="en-GB"/>
              </w:rPr>
            </w:pPr>
            <w:r w:rsidRPr="000D5E70">
              <w:rPr>
                <w:rFonts w:cs="Arial"/>
                <w:color w:val="000000" w:themeColor="text1"/>
                <w:szCs w:val="18"/>
              </w:rPr>
              <w:t>0.910</w:t>
            </w:r>
          </w:p>
        </w:tc>
        <w:tc>
          <w:tcPr>
            <w:tcW w:w="810" w:type="dxa"/>
            <w:tcBorders>
              <w:top w:val="nil"/>
              <w:left w:val="nil"/>
              <w:bottom w:val="nil"/>
              <w:right w:val="nil"/>
            </w:tcBorders>
            <w:shd w:val="clear" w:color="auto" w:fill="FFFFFF"/>
            <w:vAlign w:val="center"/>
          </w:tcPr>
          <w:p w14:paraId="1E8E9486" w14:textId="77777777" w:rsidR="00E3794D" w:rsidRDefault="00E3794D" w:rsidP="004500DF">
            <w:pPr>
              <w:pStyle w:val="CETBodytext"/>
              <w:ind w:right="-1"/>
              <w:rPr>
                <w:rFonts w:cs="Arial"/>
                <w:szCs w:val="18"/>
                <w:lang w:val="en-GB"/>
              </w:rPr>
            </w:pPr>
            <w:r w:rsidRPr="000D5E70">
              <w:rPr>
                <w:rFonts w:cs="Arial"/>
                <w:color w:val="000000" w:themeColor="text1"/>
                <w:szCs w:val="18"/>
              </w:rPr>
              <w:t>0.192</w:t>
            </w:r>
          </w:p>
        </w:tc>
        <w:tc>
          <w:tcPr>
            <w:tcW w:w="720" w:type="dxa"/>
            <w:tcBorders>
              <w:top w:val="nil"/>
              <w:left w:val="nil"/>
              <w:bottom w:val="nil"/>
              <w:right w:val="nil"/>
            </w:tcBorders>
            <w:shd w:val="clear" w:color="auto" w:fill="FFFFFF"/>
            <w:vAlign w:val="center"/>
          </w:tcPr>
          <w:p w14:paraId="5EE49200" w14:textId="77777777" w:rsidR="00E3794D" w:rsidRDefault="00E3794D" w:rsidP="004500DF">
            <w:pPr>
              <w:pStyle w:val="CETBodytext"/>
              <w:ind w:right="-1"/>
              <w:rPr>
                <w:rFonts w:cs="Arial"/>
                <w:szCs w:val="18"/>
                <w:lang w:val="en-GB"/>
              </w:rPr>
            </w:pPr>
            <w:r w:rsidRPr="000D5E70">
              <w:rPr>
                <w:rFonts w:cs="Arial"/>
                <w:color w:val="000000" w:themeColor="text1"/>
                <w:szCs w:val="18"/>
              </w:rPr>
              <w:t>2.00</w:t>
            </w:r>
          </w:p>
        </w:tc>
        <w:tc>
          <w:tcPr>
            <w:tcW w:w="900" w:type="dxa"/>
            <w:tcBorders>
              <w:top w:val="nil"/>
              <w:left w:val="nil"/>
              <w:bottom w:val="nil"/>
              <w:right w:val="nil"/>
            </w:tcBorders>
            <w:shd w:val="clear" w:color="auto" w:fill="FFFFFF"/>
            <w:vAlign w:val="center"/>
          </w:tcPr>
          <w:p w14:paraId="01C1E21F" w14:textId="77777777" w:rsidR="00E3794D" w:rsidRDefault="00E3794D" w:rsidP="004500DF">
            <w:pPr>
              <w:pStyle w:val="CETBodytext"/>
              <w:ind w:right="-1"/>
              <w:rPr>
                <w:rFonts w:cs="Arial"/>
                <w:szCs w:val="18"/>
                <w:lang w:val="en-GB"/>
              </w:rPr>
            </w:pPr>
            <w:r w:rsidRPr="000D5E70">
              <w:rPr>
                <w:rFonts w:cs="Arial"/>
                <w:color w:val="000000" w:themeColor="text1"/>
                <w:szCs w:val="18"/>
              </w:rPr>
              <w:t>0.324</w:t>
            </w:r>
          </w:p>
        </w:tc>
        <w:tc>
          <w:tcPr>
            <w:tcW w:w="867" w:type="dxa"/>
            <w:tcBorders>
              <w:top w:val="nil"/>
              <w:left w:val="nil"/>
              <w:bottom w:val="nil"/>
              <w:right w:val="nil"/>
            </w:tcBorders>
            <w:shd w:val="clear" w:color="auto" w:fill="FFFFFF"/>
            <w:vAlign w:val="center"/>
          </w:tcPr>
          <w:p w14:paraId="060C63C1" w14:textId="77777777" w:rsidR="00E3794D" w:rsidRDefault="00E3794D" w:rsidP="004500DF">
            <w:pPr>
              <w:pStyle w:val="CETBodytext"/>
              <w:ind w:right="-1"/>
              <w:rPr>
                <w:rFonts w:cs="Arial"/>
                <w:szCs w:val="18"/>
                <w:lang w:val="en-GB"/>
              </w:rPr>
            </w:pPr>
            <w:r w:rsidRPr="000D5E70">
              <w:rPr>
                <w:rFonts w:cs="Arial"/>
                <w:color w:val="000000" w:themeColor="text1"/>
                <w:szCs w:val="18"/>
              </w:rPr>
              <w:t>1.426</w:t>
            </w:r>
          </w:p>
        </w:tc>
      </w:tr>
      <w:tr w:rsidR="00E3794D" w14:paraId="41C7BA0B" w14:textId="77777777" w:rsidTr="004500DF">
        <w:tc>
          <w:tcPr>
            <w:tcW w:w="1170" w:type="dxa"/>
            <w:vMerge/>
            <w:tcBorders>
              <w:top w:val="nil"/>
              <w:left w:val="nil"/>
              <w:bottom w:val="nil"/>
              <w:right w:val="nil"/>
            </w:tcBorders>
            <w:shd w:val="clear" w:color="auto" w:fill="FFFFFF"/>
          </w:tcPr>
          <w:p w14:paraId="6B508921" w14:textId="77777777" w:rsidR="00E3794D" w:rsidRPr="000D5E70" w:rsidRDefault="00E3794D" w:rsidP="004500DF">
            <w:pPr>
              <w:pStyle w:val="CETBodytext"/>
              <w:ind w:right="-1"/>
              <w:rPr>
                <w:rFonts w:cs="Arial"/>
                <w:color w:val="000000" w:themeColor="text1"/>
                <w:szCs w:val="18"/>
              </w:rPr>
            </w:pPr>
          </w:p>
        </w:tc>
        <w:tc>
          <w:tcPr>
            <w:tcW w:w="1170" w:type="dxa"/>
            <w:tcBorders>
              <w:top w:val="nil"/>
              <w:left w:val="nil"/>
              <w:bottom w:val="nil"/>
              <w:right w:val="nil"/>
            </w:tcBorders>
            <w:shd w:val="clear" w:color="auto" w:fill="FFFFFF"/>
            <w:vAlign w:val="bottom"/>
          </w:tcPr>
          <w:p w14:paraId="0BA99510" w14:textId="77777777" w:rsidR="00E3794D" w:rsidRDefault="00E3794D" w:rsidP="004500DF">
            <w:pPr>
              <w:pStyle w:val="CETBodytext"/>
              <w:ind w:right="-1"/>
              <w:rPr>
                <w:rFonts w:cs="Arial"/>
                <w:szCs w:val="18"/>
                <w:lang w:val="en-GB"/>
              </w:rPr>
            </w:pPr>
            <w:r w:rsidRPr="000D5E70">
              <w:rPr>
                <w:rFonts w:cs="Arial"/>
                <w:color w:val="000000" w:themeColor="text1"/>
                <w:szCs w:val="18"/>
              </w:rPr>
              <w:t>N</w:t>
            </w:r>
          </w:p>
        </w:tc>
        <w:tc>
          <w:tcPr>
            <w:tcW w:w="810" w:type="dxa"/>
            <w:tcBorders>
              <w:top w:val="nil"/>
              <w:left w:val="nil"/>
              <w:bottom w:val="nil"/>
              <w:right w:val="nil"/>
            </w:tcBorders>
            <w:shd w:val="clear" w:color="auto" w:fill="FFFFFF"/>
            <w:vAlign w:val="center"/>
          </w:tcPr>
          <w:p w14:paraId="03C84F6C" w14:textId="77777777" w:rsidR="00E3794D" w:rsidRDefault="00E3794D" w:rsidP="004500DF">
            <w:pPr>
              <w:pStyle w:val="CETBodytext"/>
              <w:ind w:right="-1"/>
              <w:rPr>
                <w:rFonts w:cs="Arial"/>
                <w:szCs w:val="18"/>
                <w:lang w:val="en-GB"/>
              </w:rPr>
            </w:pPr>
            <w:r w:rsidRPr="000D5E70">
              <w:rPr>
                <w:rFonts w:cs="Arial"/>
                <w:color w:val="000000" w:themeColor="text1"/>
                <w:szCs w:val="18"/>
              </w:rPr>
              <w:t>0.727</w:t>
            </w:r>
          </w:p>
        </w:tc>
        <w:tc>
          <w:tcPr>
            <w:tcW w:w="810" w:type="dxa"/>
            <w:tcBorders>
              <w:top w:val="nil"/>
              <w:left w:val="nil"/>
              <w:bottom w:val="nil"/>
              <w:right w:val="nil"/>
            </w:tcBorders>
            <w:shd w:val="clear" w:color="auto" w:fill="FFFFFF"/>
            <w:vAlign w:val="center"/>
          </w:tcPr>
          <w:p w14:paraId="369B9616" w14:textId="77777777" w:rsidR="00E3794D" w:rsidRDefault="00E3794D" w:rsidP="004500DF">
            <w:pPr>
              <w:pStyle w:val="CETBodytext"/>
              <w:ind w:right="-1"/>
              <w:rPr>
                <w:rFonts w:cs="Arial"/>
                <w:szCs w:val="18"/>
                <w:lang w:val="en-GB"/>
              </w:rPr>
            </w:pPr>
            <w:r w:rsidRPr="000D5E70">
              <w:rPr>
                <w:rFonts w:cs="Arial"/>
                <w:color w:val="000000" w:themeColor="text1"/>
                <w:szCs w:val="18"/>
              </w:rPr>
              <w:t>20.459</w:t>
            </w:r>
          </w:p>
        </w:tc>
        <w:tc>
          <w:tcPr>
            <w:tcW w:w="720" w:type="dxa"/>
            <w:tcBorders>
              <w:top w:val="nil"/>
              <w:left w:val="nil"/>
              <w:bottom w:val="nil"/>
              <w:right w:val="nil"/>
            </w:tcBorders>
            <w:shd w:val="clear" w:color="auto" w:fill="FFFFFF"/>
            <w:vAlign w:val="center"/>
          </w:tcPr>
          <w:p w14:paraId="09D99825" w14:textId="77777777" w:rsidR="00E3794D" w:rsidRDefault="00E3794D" w:rsidP="004500DF">
            <w:pPr>
              <w:pStyle w:val="CETBodytext"/>
              <w:ind w:right="-1"/>
              <w:rPr>
                <w:rFonts w:cs="Arial"/>
                <w:szCs w:val="18"/>
                <w:lang w:val="en-GB"/>
              </w:rPr>
            </w:pPr>
            <w:r w:rsidRPr="000D5E70">
              <w:rPr>
                <w:rFonts w:cs="Arial"/>
                <w:color w:val="000000" w:themeColor="text1"/>
                <w:szCs w:val="18"/>
              </w:rPr>
              <w:t>0.003</w:t>
            </w:r>
          </w:p>
        </w:tc>
        <w:tc>
          <w:tcPr>
            <w:tcW w:w="900" w:type="dxa"/>
            <w:tcBorders>
              <w:top w:val="nil"/>
              <w:left w:val="nil"/>
              <w:bottom w:val="nil"/>
              <w:right w:val="nil"/>
            </w:tcBorders>
            <w:shd w:val="clear" w:color="auto" w:fill="FFFFFF"/>
            <w:vAlign w:val="center"/>
          </w:tcPr>
          <w:p w14:paraId="7BAE8839" w14:textId="77777777" w:rsidR="00E3794D" w:rsidRDefault="00E3794D" w:rsidP="004500DF">
            <w:pPr>
              <w:pStyle w:val="CETBodytext"/>
              <w:ind w:right="-1"/>
              <w:rPr>
                <w:rFonts w:cs="Arial"/>
                <w:szCs w:val="18"/>
                <w:lang w:val="en-GB"/>
              </w:rPr>
            </w:pPr>
            <w:r w:rsidRPr="000D5E70">
              <w:rPr>
                <w:rFonts w:cs="Arial"/>
                <w:color w:val="000000" w:themeColor="text1"/>
                <w:szCs w:val="18"/>
              </w:rPr>
              <w:t>22.932</w:t>
            </w:r>
          </w:p>
        </w:tc>
        <w:tc>
          <w:tcPr>
            <w:tcW w:w="810" w:type="dxa"/>
            <w:tcBorders>
              <w:top w:val="nil"/>
              <w:left w:val="nil"/>
              <w:bottom w:val="nil"/>
              <w:right w:val="nil"/>
            </w:tcBorders>
            <w:shd w:val="clear" w:color="auto" w:fill="FFFFFF"/>
            <w:vAlign w:val="center"/>
          </w:tcPr>
          <w:p w14:paraId="71ACE92A" w14:textId="77777777" w:rsidR="00E3794D" w:rsidRDefault="00E3794D" w:rsidP="004500DF">
            <w:pPr>
              <w:pStyle w:val="CETBodytext"/>
              <w:ind w:right="-1"/>
              <w:rPr>
                <w:rFonts w:cs="Arial"/>
                <w:szCs w:val="18"/>
                <w:lang w:val="en-GB"/>
              </w:rPr>
            </w:pPr>
            <w:r w:rsidRPr="000D5E70">
              <w:rPr>
                <w:rFonts w:cs="Arial"/>
                <w:color w:val="000000" w:themeColor="text1"/>
                <w:szCs w:val="18"/>
              </w:rPr>
              <w:t>1.666</w:t>
            </w:r>
          </w:p>
        </w:tc>
        <w:tc>
          <w:tcPr>
            <w:tcW w:w="720" w:type="dxa"/>
            <w:tcBorders>
              <w:top w:val="nil"/>
              <w:left w:val="nil"/>
              <w:bottom w:val="nil"/>
              <w:right w:val="nil"/>
            </w:tcBorders>
            <w:shd w:val="clear" w:color="auto" w:fill="FFFFFF"/>
            <w:vAlign w:val="center"/>
          </w:tcPr>
          <w:p w14:paraId="1179F735" w14:textId="77777777" w:rsidR="00E3794D" w:rsidRDefault="00E3794D" w:rsidP="004500DF">
            <w:pPr>
              <w:pStyle w:val="CETBodytext"/>
              <w:ind w:right="-1"/>
              <w:rPr>
                <w:rFonts w:cs="Arial"/>
                <w:szCs w:val="18"/>
                <w:lang w:val="en-GB"/>
              </w:rPr>
            </w:pPr>
            <w:r w:rsidRPr="000D5E70">
              <w:rPr>
                <w:rFonts w:cs="Arial"/>
                <w:color w:val="000000" w:themeColor="text1"/>
                <w:szCs w:val="18"/>
              </w:rPr>
              <w:t>39.414</w:t>
            </w:r>
          </w:p>
        </w:tc>
        <w:tc>
          <w:tcPr>
            <w:tcW w:w="900" w:type="dxa"/>
            <w:tcBorders>
              <w:top w:val="nil"/>
              <w:left w:val="nil"/>
              <w:bottom w:val="nil"/>
              <w:right w:val="nil"/>
            </w:tcBorders>
            <w:shd w:val="clear" w:color="auto" w:fill="FFFFFF"/>
            <w:vAlign w:val="center"/>
          </w:tcPr>
          <w:p w14:paraId="0F0D64FA" w14:textId="77777777" w:rsidR="00E3794D" w:rsidRDefault="00E3794D" w:rsidP="004500DF">
            <w:pPr>
              <w:pStyle w:val="CETBodytext"/>
              <w:ind w:right="-1"/>
              <w:rPr>
                <w:rFonts w:cs="Arial"/>
                <w:szCs w:val="18"/>
                <w:lang w:val="en-GB"/>
              </w:rPr>
            </w:pPr>
            <w:r w:rsidRPr="000D5E70">
              <w:rPr>
                <w:rFonts w:cs="Arial"/>
                <w:color w:val="000000" w:themeColor="text1"/>
                <w:szCs w:val="18"/>
              </w:rPr>
              <w:t>1.487</w:t>
            </w:r>
          </w:p>
        </w:tc>
        <w:tc>
          <w:tcPr>
            <w:tcW w:w="867" w:type="dxa"/>
            <w:tcBorders>
              <w:top w:val="nil"/>
              <w:left w:val="nil"/>
              <w:bottom w:val="nil"/>
              <w:right w:val="nil"/>
            </w:tcBorders>
            <w:shd w:val="clear" w:color="auto" w:fill="FFFFFF"/>
            <w:vAlign w:val="center"/>
          </w:tcPr>
          <w:p w14:paraId="0FE7918E" w14:textId="77777777" w:rsidR="00E3794D" w:rsidRDefault="00E3794D" w:rsidP="004500DF">
            <w:pPr>
              <w:pStyle w:val="CETBodytext"/>
              <w:ind w:right="-1"/>
              <w:rPr>
                <w:rFonts w:cs="Arial"/>
                <w:szCs w:val="18"/>
                <w:lang w:val="en-GB"/>
              </w:rPr>
            </w:pPr>
            <w:r w:rsidRPr="000D5E70">
              <w:rPr>
                <w:rFonts w:cs="Arial"/>
                <w:color w:val="000000" w:themeColor="text1"/>
                <w:szCs w:val="18"/>
              </w:rPr>
              <w:t>169.16</w:t>
            </w:r>
          </w:p>
        </w:tc>
      </w:tr>
      <w:tr w:rsidR="00E3794D" w14:paraId="1E3E29D6" w14:textId="77777777" w:rsidTr="004500DF">
        <w:tc>
          <w:tcPr>
            <w:tcW w:w="1170" w:type="dxa"/>
            <w:vMerge/>
            <w:tcBorders>
              <w:top w:val="nil"/>
              <w:left w:val="nil"/>
              <w:bottom w:val="nil"/>
              <w:right w:val="nil"/>
            </w:tcBorders>
            <w:shd w:val="clear" w:color="auto" w:fill="FFFFFF"/>
          </w:tcPr>
          <w:p w14:paraId="26392073" w14:textId="77777777" w:rsidR="00E3794D" w:rsidRPr="000D5E70" w:rsidRDefault="00E3794D" w:rsidP="004500DF">
            <w:pPr>
              <w:pStyle w:val="CETBodytext"/>
              <w:ind w:right="-1"/>
              <w:rPr>
                <w:rFonts w:cs="Arial"/>
                <w:color w:val="000000" w:themeColor="text1"/>
                <w:szCs w:val="18"/>
              </w:rPr>
            </w:pPr>
          </w:p>
        </w:tc>
        <w:tc>
          <w:tcPr>
            <w:tcW w:w="1170" w:type="dxa"/>
            <w:tcBorders>
              <w:top w:val="nil"/>
              <w:left w:val="nil"/>
              <w:bottom w:val="nil"/>
              <w:right w:val="nil"/>
            </w:tcBorders>
            <w:shd w:val="clear" w:color="auto" w:fill="FFFFFF"/>
            <w:vAlign w:val="bottom"/>
          </w:tcPr>
          <w:p w14:paraId="789E9731" w14:textId="77777777" w:rsidR="00E3794D" w:rsidRDefault="00E3794D" w:rsidP="004500DF">
            <w:pPr>
              <w:pStyle w:val="CETBodytext"/>
              <w:ind w:right="-1"/>
              <w:rPr>
                <w:rFonts w:cs="Arial"/>
                <w:szCs w:val="18"/>
                <w:lang w:val="en-GB"/>
              </w:rPr>
            </w:pPr>
            <w:r w:rsidRPr="000D5E70">
              <w:rPr>
                <w:rFonts w:cs="Arial"/>
                <w:color w:val="000000" w:themeColor="text1"/>
                <w:szCs w:val="18"/>
              </w:rPr>
              <w:t>R</w:t>
            </w:r>
            <w:r w:rsidRPr="000D5E70">
              <w:rPr>
                <w:rFonts w:cs="Arial"/>
                <w:color w:val="000000" w:themeColor="text1"/>
                <w:szCs w:val="18"/>
                <w:vertAlign w:val="superscript"/>
              </w:rPr>
              <w:t>2</w:t>
            </w:r>
          </w:p>
        </w:tc>
        <w:tc>
          <w:tcPr>
            <w:tcW w:w="810" w:type="dxa"/>
            <w:tcBorders>
              <w:top w:val="nil"/>
              <w:left w:val="nil"/>
              <w:bottom w:val="nil"/>
              <w:right w:val="nil"/>
            </w:tcBorders>
            <w:shd w:val="clear" w:color="auto" w:fill="FFFFFF"/>
            <w:vAlign w:val="bottom"/>
          </w:tcPr>
          <w:p w14:paraId="771B3493" w14:textId="77777777" w:rsidR="00E3794D" w:rsidRDefault="00E3794D" w:rsidP="004500DF">
            <w:pPr>
              <w:pStyle w:val="CETBodytext"/>
              <w:ind w:right="-1"/>
              <w:rPr>
                <w:rFonts w:cs="Arial"/>
                <w:szCs w:val="18"/>
                <w:lang w:val="en-GB"/>
              </w:rPr>
            </w:pPr>
            <w:r w:rsidRPr="000D5E70">
              <w:rPr>
                <w:rFonts w:cs="Arial"/>
                <w:color w:val="000000" w:themeColor="text1"/>
                <w:szCs w:val="18"/>
              </w:rPr>
              <w:t>0.996</w:t>
            </w:r>
          </w:p>
        </w:tc>
        <w:tc>
          <w:tcPr>
            <w:tcW w:w="810" w:type="dxa"/>
            <w:tcBorders>
              <w:top w:val="nil"/>
              <w:left w:val="nil"/>
              <w:bottom w:val="nil"/>
              <w:right w:val="nil"/>
            </w:tcBorders>
            <w:shd w:val="clear" w:color="auto" w:fill="FFFFFF"/>
            <w:vAlign w:val="bottom"/>
          </w:tcPr>
          <w:p w14:paraId="69BCDC51" w14:textId="77777777" w:rsidR="00E3794D" w:rsidRDefault="00E3794D" w:rsidP="004500DF">
            <w:pPr>
              <w:pStyle w:val="CETBodytext"/>
              <w:ind w:right="-1"/>
              <w:rPr>
                <w:rFonts w:cs="Arial"/>
                <w:szCs w:val="18"/>
                <w:lang w:val="en-GB"/>
              </w:rPr>
            </w:pPr>
            <w:r w:rsidRPr="000D5E70">
              <w:rPr>
                <w:rFonts w:cs="Arial"/>
                <w:color w:val="000000" w:themeColor="text1"/>
                <w:szCs w:val="18"/>
              </w:rPr>
              <w:t>0.999</w:t>
            </w:r>
          </w:p>
        </w:tc>
        <w:tc>
          <w:tcPr>
            <w:tcW w:w="720" w:type="dxa"/>
            <w:tcBorders>
              <w:top w:val="nil"/>
              <w:left w:val="nil"/>
              <w:bottom w:val="nil"/>
              <w:right w:val="nil"/>
            </w:tcBorders>
            <w:shd w:val="clear" w:color="auto" w:fill="FFFFFF"/>
            <w:vAlign w:val="bottom"/>
          </w:tcPr>
          <w:p w14:paraId="0D5D0571" w14:textId="77777777" w:rsidR="00E3794D" w:rsidRDefault="00E3794D" w:rsidP="004500DF">
            <w:pPr>
              <w:pStyle w:val="CETBodytext"/>
              <w:ind w:right="-1"/>
              <w:rPr>
                <w:rFonts w:cs="Arial"/>
                <w:szCs w:val="18"/>
                <w:lang w:val="en-GB"/>
              </w:rPr>
            </w:pPr>
            <w:r w:rsidRPr="000D5E70">
              <w:rPr>
                <w:rFonts w:cs="Arial"/>
                <w:color w:val="000000" w:themeColor="text1"/>
                <w:szCs w:val="18"/>
              </w:rPr>
              <w:t>0.998</w:t>
            </w:r>
          </w:p>
        </w:tc>
        <w:tc>
          <w:tcPr>
            <w:tcW w:w="900" w:type="dxa"/>
            <w:tcBorders>
              <w:top w:val="nil"/>
              <w:left w:val="nil"/>
              <w:bottom w:val="nil"/>
              <w:right w:val="nil"/>
            </w:tcBorders>
            <w:shd w:val="clear" w:color="auto" w:fill="FFFFFF"/>
            <w:vAlign w:val="bottom"/>
          </w:tcPr>
          <w:p w14:paraId="44A676C0" w14:textId="77777777" w:rsidR="00E3794D" w:rsidRDefault="00E3794D" w:rsidP="004500DF">
            <w:pPr>
              <w:pStyle w:val="CETBodytext"/>
              <w:ind w:right="-1"/>
              <w:rPr>
                <w:rFonts w:cs="Arial"/>
                <w:szCs w:val="18"/>
                <w:lang w:val="en-GB"/>
              </w:rPr>
            </w:pPr>
            <w:r w:rsidRPr="000D5E70">
              <w:rPr>
                <w:rFonts w:cs="Arial"/>
                <w:color w:val="000000" w:themeColor="text1"/>
                <w:szCs w:val="18"/>
              </w:rPr>
              <w:t>0.999</w:t>
            </w:r>
          </w:p>
        </w:tc>
        <w:tc>
          <w:tcPr>
            <w:tcW w:w="810" w:type="dxa"/>
            <w:tcBorders>
              <w:top w:val="nil"/>
              <w:left w:val="nil"/>
              <w:bottom w:val="nil"/>
              <w:right w:val="nil"/>
            </w:tcBorders>
            <w:shd w:val="clear" w:color="auto" w:fill="FFFFFF"/>
            <w:vAlign w:val="bottom"/>
          </w:tcPr>
          <w:p w14:paraId="41266E27" w14:textId="77777777" w:rsidR="00E3794D" w:rsidRDefault="00E3794D" w:rsidP="004500DF">
            <w:pPr>
              <w:pStyle w:val="CETBodytext"/>
              <w:ind w:right="-1"/>
              <w:rPr>
                <w:rFonts w:cs="Arial"/>
                <w:szCs w:val="18"/>
                <w:lang w:val="en-GB"/>
              </w:rPr>
            </w:pPr>
            <w:r w:rsidRPr="000D5E70">
              <w:rPr>
                <w:rFonts w:cs="Arial"/>
                <w:color w:val="000000" w:themeColor="text1"/>
                <w:szCs w:val="18"/>
              </w:rPr>
              <w:t>0.999</w:t>
            </w:r>
          </w:p>
        </w:tc>
        <w:tc>
          <w:tcPr>
            <w:tcW w:w="720" w:type="dxa"/>
            <w:tcBorders>
              <w:top w:val="nil"/>
              <w:left w:val="nil"/>
              <w:bottom w:val="nil"/>
              <w:right w:val="nil"/>
            </w:tcBorders>
            <w:shd w:val="clear" w:color="auto" w:fill="FFFFFF"/>
            <w:vAlign w:val="bottom"/>
          </w:tcPr>
          <w:p w14:paraId="7A5CB62A" w14:textId="77777777" w:rsidR="00E3794D" w:rsidRDefault="00E3794D" w:rsidP="004500DF">
            <w:pPr>
              <w:pStyle w:val="CETBodytext"/>
              <w:ind w:right="-1"/>
              <w:rPr>
                <w:rFonts w:cs="Arial"/>
                <w:szCs w:val="18"/>
                <w:lang w:val="en-GB"/>
              </w:rPr>
            </w:pPr>
            <w:r w:rsidRPr="000D5E70">
              <w:rPr>
                <w:rFonts w:cs="Arial"/>
                <w:color w:val="000000" w:themeColor="text1"/>
                <w:szCs w:val="18"/>
              </w:rPr>
              <w:t>0.997</w:t>
            </w:r>
          </w:p>
        </w:tc>
        <w:tc>
          <w:tcPr>
            <w:tcW w:w="900" w:type="dxa"/>
            <w:tcBorders>
              <w:top w:val="nil"/>
              <w:left w:val="nil"/>
              <w:bottom w:val="nil"/>
              <w:right w:val="nil"/>
            </w:tcBorders>
            <w:shd w:val="clear" w:color="auto" w:fill="FFFFFF"/>
            <w:vAlign w:val="bottom"/>
          </w:tcPr>
          <w:p w14:paraId="51C56DF4" w14:textId="77777777" w:rsidR="00E3794D" w:rsidRDefault="00E3794D" w:rsidP="004500DF">
            <w:pPr>
              <w:pStyle w:val="CETBodytext"/>
              <w:ind w:right="-1"/>
              <w:rPr>
                <w:rFonts w:cs="Arial"/>
                <w:szCs w:val="18"/>
                <w:lang w:val="en-GB"/>
              </w:rPr>
            </w:pPr>
            <w:r w:rsidRPr="000D5E70">
              <w:rPr>
                <w:rFonts w:cs="Arial"/>
                <w:color w:val="000000" w:themeColor="text1"/>
                <w:szCs w:val="18"/>
              </w:rPr>
              <w:t>0.999</w:t>
            </w:r>
          </w:p>
        </w:tc>
        <w:tc>
          <w:tcPr>
            <w:tcW w:w="867" w:type="dxa"/>
            <w:tcBorders>
              <w:top w:val="nil"/>
              <w:left w:val="nil"/>
              <w:bottom w:val="nil"/>
              <w:right w:val="nil"/>
            </w:tcBorders>
            <w:shd w:val="clear" w:color="auto" w:fill="FFFFFF"/>
            <w:vAlign w:val="bottom"/>
          </w:tcPr>
          <w:p w14:paraId="1E181DDB" w14:textId="77777777" w:rsidR="00E3794D" w:rsidRDefault="00E3794D" w:rsidP="004500DF">
            <w:pPr>
              <w:pStyle w:val="CETBodytext"/>
              <w:ind w:right="-1"/>
              <w:rPr>
                <w:rFonts w:cs="Arial"/>
                <w:szCs w:val="18"/>
                <w:lang w:val="en-GB"/>
              </w:rPr>
            </w:pPr>
            <w:r w:rsidRPr="000D5E70">
              <w:rPr>
                <w:rFonts w:cs="Arial"/>
                <w:color w:val="000000" w:themeColor="text1"/>
                <w:szCs w:val="18"/>
              </w:rPr>
              <w:t>0.998</w:t>
            </w:r>
          </w:p>
        </w:tc>
      </w:tr>
      <w:tr w:rsidR="00E3794D" w14:paraId="410FD99A" w14:textId="77777777" w:rsidTr="004500DF">
        <w:tc>
          <w:tcPr>
            <w:tcW w:w="1170" w:type="dxa"/>
            <w:vMerge/>
            <w:tcBorders>
              <w:top w:val="nil"/>
              <w:left w:val="nil"/>
              <w:bottom w:val="single" w:sz="6" w:space="0" w:color="008000"/>
              <w:right w:val="nil"/>
            </w:tcBorders>
            <w:shd w:val="clear" w:color="auto" w:fill="FFFFFF"/>
          </w:tcPr>
          <w:p w14:paraId="51D7B0F6" w14:textId="77777777" w:rsidR="00E3794D" w:rsidRPr="000D5E70" w:rsidRDefault="00E3794D" w:rsidP="004500DF">
            <w:pPr>
              <w:pStyle w:val="CETBodytext"/>
              <w:ind w:right="-1"/>
              <w:rPr>
                <w:rFonts w:cs="Arial"/>
                <w:color w:val="000000" w:themeColor="text1"/>
                <w:szCs w:val="18"/>
              </w:rPr>
            </w:pPr>
          </w:p>
        </w:tc>
        <w:tc>
          <w:tcPr>
            <w:tcW w:w="1170" w:type="dxa"/>
            <w:tcBorders>
              <w:top w:val="nil"/>
              <w:left w:val="nil"/>
              <w:bottom w:val="single" w:sz="6" w:space="0" w:color="008000"/>
              <w:right w:val="nil"/>
            </w:tcBorders>
            <w:shd w:val="clear" w:color="auto" w:fill="FFFFFF"/>
            <w:vAlign w:val="bottom"/>
          </w:tcPr>
          <w:p w14:paraId="5AACAC60" w14:textId="77777777" w:rsidR="00E3794D" w:rsidRDefault="00E3794D" w:rsidP="004500DF">
            <w:pPr>
              <w:pStyle w:val="CETBodytext"/>
              <w:ind w:right="-1"/>
              <w:rPr>
                <w:rFonts w:cs="Arial"/>
                <w:szCs w:val="18"/>
                <w:lang w:val="en-GB"/>
              </w:rPr>
            </w:pPr>
            <w:r w:rsidRPr="000D5E70">
              <w:rPr>
                <w:rFonts w:cs="Arial"/>
                <w:color w:val="000000" w:themeColor="text1"/>
                <w:szCs w:val="18"/>
              </w:rPr>
              <w:t>E (%)</w:t>
            </w:r>
          </w:p>
        </w:tc>
        <w:tc>
          <w:tcPr>
            <w:tcW w:w="810" w:type="dxa"/>
            <w:tcBorders>
              <w:top w:val="nil"/>
              <w:left w:val="nil"/>
              <w:bottom w:val="single" w:sz="6" w:space="0" w:color="008000"/>
              <w:right w:val="nil"/>
            </w:tcBorders>
            <w:shd w:val="clear" w:color="auto" w:fill="FFFFFF"/>
            <w:vAlign w:val="bottom"/>
          </w:tcPr>
          <w:p w14:paraId="2D5DC501" w14:textId="77777777" w:rsidR="00E3794D" w:rsidRDefault="00E3794D" w:rsidP="004500DF">
            <w:pPr>
              <w:pStyle w:val="CETBodytext"/>
              <w:ind w:right="-1"/>
              <w:rPr>
                <w:rFonts w:cs="Arial"/>
                <w:szCs w:val="18"/>
                <w:lang w:val="en-GB"/>
              </w:rPr>
            </w:pPr>
            <w:r w:rsidRPr="000D5E70">
              <w:rPr>
                <w:rFonts w:cs="Arial"/>
                <w:color w:val="000000" w:themeColor="text1"/>
                <w:szCs w:val="18"/>
              </w:rPr>
              <w:t>13.05</w:t>
            </w:r>
          </w:p>
        </w:tc>
        <w:tc>
          <w:tcPr>
            <w:tcW w:w="810" w:type="dxa"/>
            <w:tcBorders>
              <w:top w:val="nil"/>
              <w:left w:val="nil"/>
              <w:bottom w:val="single" w:sz="6" w:space="0" w:color="008000"/>
              <w:right w:val="nil"/>
            </w:tcBorders>
            <w:shd w:val="clear" w:color="auto" w:fill="FFFFFF"/>
            <w:vAlign w:val="bottom"/>
          </w:tcPr>
          <w:p w14:paraId="015B80F2" w14:textId="77777777" w:rsidR="00E3794D" w:rsidRDefault="00E3794D" w:rsidP="004500DF">
            <w:pPr>
              <w:pStyle w:val="CETBodytext"/>
              <w:ind w:right="-1"/>
              <w:rPr>
                <w:rFonts w:cs="Arial"/>
                <w:szCs w:val="18"/>
                <w:lang w:val="en-GB"/>
              </w:rPr>
            </w:pPr>
            <w:r w:rsidRPr="000D5E70">
              <w:rPr>
                <w:rFonts w:cs="Arial"/>
                <w:color w:val="000000" w:themeColor="text1"/>
                <w:szCs w:val="18"/>
              </w:rPr>
              <w:t>5.44</w:t>
            </w:r>
          </w:p>
        </w:tc>
        <w:tc>
          <w:tcPr>
            <w:tcW w:w="720" w:type="dxa"/>
            <w:tcBorders>
              <w:top w:val="nil"/>
              <w:left w:val="nil"/>
              <w:bottom w:val="single" w:sz="6" w:space="0" w:color="008000"/>
              <w:right w:val="nil"/>
            </w:tcBorders>
            <w:shd w:val="clear" w:color="auto" w:fill="FFFFFF"/>
            <w:vAlign w:val="bottom"/>
          </w:tcPr>
          <w:p w14:paraId="2E6E85A1" w14:textId="77777777" w:rsidR="00E3794D" w:rsidRDefault="00E3794D" w:rsidP="004500DF">
            <w:pPr>
              <w:pStyle w:val="CETBodytext"/>
              <w:ind w:right="-1"/>
              <w:rPr>
                <w:rFonts w:cs="Arial"/>
                <w:szCs w:val="18"/>
                <w:lang w:val="en-GB"/>
              </w:rPr>
            </w:pPr>
            <w:r w:rsidRPr="000D5E70">
              <w:rPr>
                <w:rFonts w:cs="Arial"/>
                <w:color w:val="000000" w:themeColor="text1"/>
                <w:szCs w:val="18"/>
              </w:rPr>
              <w:t>12.90</w:t>
            </w:r>
          </w:p>
        </w:tc>
        <w:tc>
          <w:tcPr>
            <w:tcW w:w="900" w:type="dxa"/>
            <w:tcBorders>
              <w:top w:val="nil"/>
              <w:left w:val="nil"/>
              <w:bottom w:val="single" w:sz="6" w:space="0" w:color="008000"/>
              <w:right w:val="nil"/>
            </w:tcBorders>
            <w:shd w:val="clear" w:color="auto" w:fill="FFFFFF"/>
            <w:vAlign w:val="bottom"/>
          </w:tcPr>
          <w:p w14:paraId="6109306D" w14:textId="77777777" w:rsidR="00E3794D" w:rsidRDefault="00E3794D" w:rsidP="004500DF">
            <w:pPr>
              <w:pStyle w:val="CETBodytext"/>
              <w:ind w:right="-1"/>
              <w:rPr>
                <w:rFonts w:cs="Arial"/>
                <w:szCs w:val="18"/>
                <w:lang w:val="en-GB"/>
              </w:rPr>
            </w:pPr>
            <w:r w:rsidRPr="000D5E70">
              <w:rPr>
                <w:rFonts w:cs="Arial"/>
                <w:color w:val="000000" w:themeColor="text1"/>
                <w:szCs w:val="18"/>
              </w:rPr>
              <w:t>3.05</w:t>
            </w:r>
          </w:p>
        </w:tc>
        <w:tc>
          <w:tcPr>
            <w:tcW w:w="810" w:type="dxa"/>
            <w:tcBorders>
              <w:top w:val="nil"/>
              <w:left w:val="nil"/>
              <w:bottom w:val="single" w:sz="6" w:space="0" w:color="008000"/>
              <w:right w:val="nil"/>
            </w:tcBorders>
            <w:shd w:val="clear" w:color="auto" w:fill="FFFFFF"/>
            <w:vAlign w:val="bottom"/>
          </w:tcPr>
          <w:p w14:paraId="3893C11E" w14:textId="77777777" w:rsidR="00E3794D" w:rsidRDefault="00E3794D" w:rsidP="004500DF">
            <w:pPr>
              <w:pStyle w:val="CETBodytext"/>
              <w:ind w:right="-1"/>
              <w:rPr>
                <w:rFonts w:cs="Arial"/>
                <w:szCs w:val="18"/>
                <w:lang w:val="en-GB"/>
              </w:rPr>
            </w:pPr>
            <w:r w:rsidRPr="000D5E70">
              <w:rPr>
                <w:rFonts w:cs="Arial"/>
                <w:color w:val="000000" w:themeColor="text1"/>
                <w:szCs w:val="18"/>
              </w:rPr>
              <w:t>3.09</w:t>
            </w:r>
          </w:p>
        </w:tc>
        <w:tc>
          <w:tcPr>
            <w:tcW w:w="720" w:type="dxa"/>
            <w:tcBorders>
              <w:top w:val="nil"/>
              <w:left w:val="nil"/>
              <w:bottom w:val="single" w:sz="6" w:space="0" w:color="008000"/>
              <w:right w:val="nil"/>
            </w:tcBorders>
            <w:shd w:val="clear" w:color="auto" w:fill="FFFFFF"/>
            <w:vAlign w:val="bottom"/>
          </w:tcPr>
          <w:p w14:paraId="17647345" w14:textId="77777777" w:rsidR="00E3794D" w:rsidRDefault="00E3794D" w:rsidP="004500DF">
            <w:pPr>
              <w:pStyle w:val="CETBodytext"/>
              <w:ind w:right="-1"/>
              <w:rPr>
                <w:rFonts w:cs="Arial"/>
                <w:szCs w:val="18"/>
                <w:lang w:val="en-GB"/>
              </w:rPr>
            </w:pPr>
            <w:r w:rsidRPr="000D5E70">
              <w:rPr>
                <w:rFonts w:cs="Arial"/>
                <w:color w:val="000000" w:themeColor="text1"/>
                <w:szCs w:val="18"/>
              </w:rPr>
              <w:t>4.24</w:t>
            </w:r>
          </w:p>
        </w:tc>
        <w:tc>
          <w:tcPr>
            <w:tcW w:w="900" w:type="dxa"/>
            <w:tcBorders>
              <w:top w:val="nil"/>
              <w:left w:val="nil"/>
              <w:bottom w:val="single" w:sz="6" w:space="0" w:color="008000"/>
              <w:right w:val="nil"/>
            </w:tcBorders>
            <w:shd w:val="clear" w:color="auto" w:fill="FFFFFF"/>
            <w:vAlign w:val="bottom"/>
          </w:tcPr>
          <w:p w14:paraId="03A6C99B" w14:textId="77777777" w:rsidR="00E3794D" w:rsidRDefault="00E3794D" w:rsidP="004500DF">
            <w:pPr>
              <w:pStyle w:val="CETBodytext"/>
              <w:ind w:right="-1"/>
              <w:rPr>
                <w:rFonts w:cs="Arial"/>
                <w:szCs w:val="18"/>
                <w:lang w:val="en-GB"/>
              </w:rPr>
            </w:pPr>
            <w:r w:rsidRPr="000D5E70">
              <w:rPr>
                <w:rFonts w:cs="Arial"/>
                <w:color w:val="000000" w:themeColor="text1"/>
                <w:szCs w:val="18"/>
              </w:rPr>
              <w:t>2.03</w:t>
            </w:r>
          </w:p>
        </w:tc>
        <w:tc>
          <w:tcPr>
            <w:tcW w:w="867" w:type="dxa"/>
            <w:tcBorders>
              <w:top w:val="nil"/>
              <w:left w:val="nil"/>
              <w:bottom w:val="single" w:sz="6" w:space="0" w:color="008000"/>
              <w:right w:val="nil"/>
            </w:tcBorders>
            <w:shd w:val="clear" w:color="auto" w:fill="FFFFFF"/>
            <w:vAlign w:val="bottom"/>
          </w:tcPr>
          <w:p w14:paraId="3090E0E1" w14:textId="77777777" w:rsidR="00E3794D" w:rsidRDefault="00E3794D" w:rsidP="004500DF">
            <w:pPr>
              <w:pStyle w:val="CETBodytext"/>
              <w:ind w:right="-1"/>
              <w:rPr>
                <w:rFonts w:cs="Arial"/>
                <w:szCs w:val="18"/>
                <w:lang w:val="en-GB"/>
              </w:rPr>
            </w:pPr>
            <w:r w:rsidRPr="000D5E70">
              <w:rPr>
                <w:rFonts w:cs="Arial"/>
                <w:color w:val="000000" w:themeColor="text1"/>
                <w:szCs w:val="18"/>
              </w:rPr>
              <w:t>4.84</w:t>
            </w:r>
          </w:p>
        </w:tc>
      </w:tr>
      <w:tr w:rsidR="00E3794D" w14:paraId="6DA4945E" w14:textId="77777777" w:rsidTr="004500DF">
        <w:tc>
          <w:tcPr>
            <w:tcW w:w="1170" w:type="dxa"/>
            <w:vMerge w:val="restart"/>
            <w:tcBorders>
              <w:top w:val="single" w:sz="6" w:space="0" w:color="008000"/>
              <w:left w:val="nil"/>
              <w:bottom w:val="nil"/>
              <w:right w:val="nil"/>
            </w:tcBorders>
            <w:shd w:val="clear" w:color="auto" w:fill="FFFFFF"/>
          </w:tcPr>
          <w:p w14:paraId="181BB5D3" w14:textId="77777777" w:rsidR="00E3794D" w:rsidRPr="000D5E70" w:rsidRDefault="00E3794D" w:rsidP="004500DF">
            <w:pPr>
              <w:pStyle w:val="CETBodytext"/>
              <w:ind w:right="-1"/>
              <w:rPr>
                <w:rFonts w:cs="Arial"/>
                <w:color w:val="000000" w:themeColor="text1"/>
                <w:szCs w:val="18"/>
              </w:rPr>
            </w:pPr>
            <w:r>
              <w:rPr>
                <w:rFonts w:cs="Arial"/>
                <w:color w:val="000000" w:themeColor="text1"/>
                <w:szCs w:val="18"/>
              </w:rPr>
              <w:t>Henderson</w:t>
            </w:r>
          </w:p>
        </w:tc>
        <w:tc>
          <w:tcPr>
            <w:tcW w:w="1170" w:type="dxa"/>
            <w:tcBorders>
              <w:top w:val="single" w:sz="6" w:space="0" w:color="008000"/>
              <w:left w:val="nil"/>
              <w:bottom w:val="nil"/>
              <w:right w:val="nil"/>
            </w:tcBorders>
            <w:shd w:val="clear" w:color="auto" w:fill="FFFFFF"/>
            <w:vAlign w:val="bottom"/>
          </w:tcPr>
          <w:p w14:paraId="7A1B2110" w14:textId="77777777" w:rsidR="00E3794D" w:rsidRDefault="00E3794D" w:rsidP="004500DF">
            <w:pPr>
              <w:pStyle w:val="CETBodytext"/>
              <w:ind w:right="-1"/>
              <w:rPr>
                <w:rFonts w:cs="Arial"/>
                <w:szCs w:val="18"/>
                <w:lang w:val="en-GB"/>
              </w:rPr>
            </w:pPr>
            <w:r w:rsidRPr="000D5E70">
              <w:rPr>
                <w:rFonts w:cs="Arial"/>
                <w:color w:val="000000" w:themeColor="text1"/>
                <w:szCs w:val="18"/>
              </w:rPr>
              <w:t>A</w:t>
            </w:r>
          </w:p>
        </w:tc>
        <w:tc>
          <w:tcPr>
            <w:tcW w:w="810" w:type="dxa"/>
            <w:tcBorders>
              <w:top w:val="single" w:sz="6" w:space="0" w:color="008000"/>
              <w:left w:val="nil"/>
              <w:bottom w:val="nil"/>
              <w:right w:val="nil"/>
            </w:tcBorders>
            <w:shd w:val="clear" w:color="auto" w:fill="FFFFFF"/>
            <w:vAlign w:val="center"/>
          </w:tcPr>
          <w:p w14:paraId="7DD0529A" w14:textId="77777777" w:rsidR="00E3794D" w:rsidRDefault="00E3794D" w:rsidP="004500DF">
            <w:pPr>
              <w:pStyle w:val="CETBodytext"/>
              <w:ind w:right="-1"/>
              <w:rPr>
                <w:rFonts w:cs="Arial"/>
                <w:szCs w:val="18"/>
                <w:lang w:val="en-GB"/>
              </w:rPr>
            </w:pPr>
            <w:r w:rsidRPr="000D5E70">
              <w:rPr>
                <w:rFonts w:cs="Arial"/>
                <w:color w:val="000000" w:themeColor="text1"/>
                <w:szCs w:val="18"/>
              </w:rPr>
              <w:t>0.641</w:t>
            </w:r>
          </w:p>
        </w:tc>
        <w:tc>
          <w:tcPr>
            <w:tcW w:w="810" w:type="dxa"/>
            <w:tcBorders>
              <w:top w:val="single" w:sz="6" w:space="0" w:color="008000"/>
              <w:left w:val="nil"/>
              <w:bottom w:val="nil"/>
              <w:right w:val="nil"/>
            </w:tcBorders>
            <w:shd w:val="clear" w:color="auto" w:fill="FFFFFF"/>
            <w:vAlign w:val="center"/>
          </w:tcPr>
          <w:p w14:paraId="3BFDDE73" w14:textId="77777777" w:rsidR="00E3794D" w:rsidRDefault="00E3794D" w:rsidP="004500DF">
            <w:pPr>
              <w:pStyle w:val="CETBodytext"/>
              <w:ind w:right="-1"/>
              <w:rPr>
                <w:rFonts w:cs="Arial"/>
                <w:szCs w:val="18"/>
                <w:lang w:val="en-GB"/>
              </w:rPr>
            </w:pPr>
            <w:r w:rsidRPr="000D5E70">
              <w:rPr>
                <w:rFonts w:cs="Arial"/>
                <w:color w:val="000000" w:themeColor="text1"/>
                <w:szCs w:val="18"/>
              </w:rPr>
              <w:t>0.650</w:t>
            </w:r>
          </w:p>
        </w:tc>
        <w:tc>
          <w:tcPr>
            <w:tcW w:w="720" w:type="dxa"/>
            <w:tcBorders>
              <w:top w:val="single" w:sz="6" w:space="0" w:color="008000"/>
              <w:left w:val="nil"/>
              <w:bottom w:val="nil"/>
              <w:right w:val="nil"/>
            </w:tcBorders>
            <w:shd w:val="clear" w:color="auto" w:fill="FFFFFF"/>
            <w:vAlign w:val="center"/>
          </w:tcPr>
          <w:p w14:paraId="154BA909" w14:textId="77777777" w:rsidR="00E3794D" w:rsidRDefault="00E3794D" w:rsidP="004500DF">
            <w:pPr>
              <w:pStyle w:val="CETBodytext"/>
              <w:ind w:right="-1"/>
              <w:rPr>
                <w:rFonts w:cs="Arial"/>
                <w:szCs w:val="18"/>
                <w:lang w:val="en-GB"/>
              </w:rPr>
            </w:pPr>
            <w:r w:rsidRPr="000D5E70">
              <w:rPr>
                <w:rFonts w:cs="Arial"/>
                <w:color w:val="000000" w:themeColor="text1"/>
                <w:szCs w:val="18"/>
              </w:rPr>
              <w:t>0.545</w:t>
            </w:r>
          </w:p>
        </w:tc>
        <w:tc>
          <w:tcPr>
            <w:tcW w:w="900" w:type="dxa"/>
            <w:tcBorders>
              <w:top w:val="single" w:sz="6" w:space="0" w:color="008000"/>
              <w:left w:val="nil"/>
              <w:bottom w:val="nil"/>
              <w:right w:val="nil"/>
            </w:tcBorders>
            <w:shd w:val="clear" w:color="auto" w:fill="FFFFFF"/>
            <w:vAlign w:val="center"/>
          </w:tcPr>
          <w:p w14:paraId="12A08E25" w14:textId="77777777" w:rsidR="00E3794D" w:rsidRDefault="00E3794D" w:rsidP="004500DF">
            <w:pPr>
              <w:pStyle w:val="CETBodytext"/>
              <w:ind w:right="-1"/>
              <w:rPr>
                <w:rFonts w:cs="Arial"/>
                <w:szCs w:val="18"/>
                <w:lang w:val="en-GB"/>
              </w:rPr>
            </w:pPr>
            <w:r w:rsidRPr="000D5E70">
              <w:rPr>
                <w:rFonts w:cs="Arial"/>
                <w:color w:val="000000" w:themeColor="text1"/>
                <w:szCs w:val="18"/>
              </w:rPr>
              <w:t>0.588</w:t>
            </w:r>
          </w:p>
        </w:tc>
        <w:tc>
          <w:tcPr>
            <w:tcW w:w="810" w:type="dxa"/>
            <w:tcBorders>
              <w:top w:val="single" w:sz="6" w:space="0" w:color="008000"/>
              <w:left w:val="nil"/>
              <w:bottom w:val="nil"/>
              <w:right w:val="nil"/>
            </w:tcBorders>
            <w:shd w:val="clear" w:color="auto" w:fill="FFFFFF"/>
            <w:vAlign w:val="center"/>
          </w:tcPr>
          <w:p w14:paraId="3479ED0C" w14:textId="77777777" w:rsidR="00E3794D" w:rsidRDefault="00E3794D" w:rsidP="004500DF">
            <w:pPr>
              <w:pStyle w:val="CETBodytext"/>
              <w:ind w:right="-1"/>
              <w:rPr>
                <w:rFonts w:cs="Arial"/>
                <w:szCs w:val="18"/>
                <w:lang w:val="en-GB"/>
              </w:rPr>
            </w:pPr>
            <w:r w:rsidRPr="000D5E70">
              <w:rPr>
                <w:rFonts w:cs="Arial"/>
                <w:color w:val="000000" w:themeColor="text1"/>
                <w:szCs w:val="18"/>
              </w:rPr>
              <w:t>0.637</w:t>
            </w:r>
          </w:p>
        </w:tc>
        <w:tc>
          <w:tcPr>
            <w:tcW w:w="720" w:type="dxa"/>
            <w:tcBorders>
              <w:top w:val="single" w:sz="6" w:space="0" w:color="008000"/>
              <w:left w:val="nil"/>
              <w:bottom w:val="nil"/>
              <w:right w:val="nil"/>
            </w:tcBorders>
            <w:shd w:val="clear" w:color="auto" w:fill="FFFFFF"/>
            <w:vAlign w:val="center"/>
          </w:tcPr>
          <w:p w14:paraId="4487A366" w14:textId="77777777" w:rsidR="00E3794D" w:rsidRDefault="00E3794D" w:rsidP="004500DF">
            <w:pPr>
              <w:pStyle w:val="CETBodytext"/>
              <w:ind w:right="-1"/>
              <w:rPr>
                <w:rFonts w:cs="Arial"/>
                <w:szCs w:val="18"/>
                <w:lang w:val="en-GB"/>
              </w:rPr>
            </w:pPr>
            <w:r w:rsidRPr="000D5E70">
              <w:rPr>
                <w:rFonts w:cs="Arial"/>
                <w:color w:val="000000" w:themeColor="text1"/>
                <w:szCs w:val="18"/>
              </w:rPr>
              <w:t>0.643</w:t>
            </w:r>
          </w:p>
        </w:tc>
        <w:tc>
          <w:tcPr>
            <w:tcW w:w="900" w:type="dxa"/>
            <w:tcBorders>
              <w:top w:val="single" w:sz="6" w:space="0" w:color="008000"/>
              <w:left w:val="nil"/>
              <w:bottom w:val="nil"/>
              <w:right w:val="nil"/>
            </w:tcBorders>
            <w:shd w:val="clear" w:color="auto" w:fill="FFFFFF"/>
            <w:vAlign w:val="center"/>
          </w:tcPr>
          <w:p w14:paraId="2294692E" w14:textId="77777777" w:rsidR="00E3794D" w:rsidRDefault="00E3794D" w:rsidP="004500DF">
            <w:pPr>
              <w:pStyle w:val="CETBodytext"/>
              <w:ind w:right="-1"/>
              <w:rPr>
                <w:rFonts w:cs="Arial"/>
                <w:szCs w:val="18"/>
                <w:lang w:val="en-GB"/>
              </w:rPr>
            </w:pPr>
            <w:r w:rsidRPr="000D5E70">
              <w:rPr>
                <w:rFonts w:cs="Arial"/>
                <w:color w:val="000000" w:themeColor="text1"/>
                <w:szCs w:val="18"/>
              </w:rPr>
              <w:t>0.587</w:t>
            </w:r>
          </w:p>
        </w:tc>
        <w:tc>
          <w:tcPr>
            <w:tcW w:w="867" w:type="dxa"/>
            <w:tcBorders>
              <w:top w:val="single" w:sz="6" w:space="0" w:color="008000"/>
              <w:left w:val="nil"/>
              <w:bottom w:val="nil"/>
              <w:right w:val="nil"/>
            </w:tcBorders>
            <w:shd w:val="clear" w:color="auto" w:fill="FFFFFF"/>
            <w:vAlign w:val="center"/>
          </w:tcPr>
          <w:p w14:paraId="3293DD7B" w14:textId="77777777" w:rsidR="00E3794D" w:rsidRDefault="00E3794D" w:rsidP="004500DF">
            <w:pPr>
              <w:pStyle w:val="CETBodytext"/>
              <w:ind w:right="-1"/>
              <w:rPr>
                <w:rFonts w:cs="Arial"/>
                <w:szCs w:val="18"/>
                <w:lang w:val="en-GB"/>
              </w:rPr>
            </w:pPr>
            <w:r w:rsidRPr="000D5E70">
              <w:rPr>
                <w:rFonts w:cs="Arial"/>
                <w:color w:val="000000" w:themeColor="text1"/>
                <w:szCs w:val="18"/>
              </w:rPr>
              <w:t>0.599</w:t>
            </w:r>
          </w:p>
        </w:tc>
      </w:tr>
      <w:tr w:rsidR="00E3794D" w14:paraId="3827599F" w14:textId="77777777" w:rsidTr="004500DF">
        <w:tc>
          <w:tcPr>
            <w:tcW w:w="1170" w:type="dxa"/>
            <w:vMerge/>
            <w:tcBorders>
              <w:top w:val="nil"/>
              <w:left w:val="nil"/>
              <w:bottom w:val="nil"/>
              <w:right w:val="nil"/>
            </w:tcBorders>
            <w:shd w:val="clear" w:color="auto" w:fill="FFFFFF"/>
          </w:tcPr>
          <w:p w14:paraId="5DDCCE70" w14:textId="77777777" w:rsidR="00E3794D" w:rsidRPr="000D5E70" w:rsidRDefault="00E3794D" w:rsidP="004500DF">
            <w:pPr>
              <w:pStyle w:val="CETBodytext"/>
              <w:ind w:right="-1"/>
              <w:rPr>
                <w:rFonts w:cs="Arial"/>
                <w:color w:val="000000" w:themeColor="text1"/>
                <w:szCs w:val="18"/>
              </w:rPr>
            </w:pPr>
          </w:p>
        </w:tc>
        <w:tc>
          <w:tcPr>
            <w:tcW w:w="1170" w:type="dxa"/>
            <w:tcBorders>
              <w:top w:val="nil"/>
              <w:left w:val="nil"/>
              <w:bottom w:val="nil"/>
              <w:right w:val="nil"/>
            </w:tcBorders>
            <w:shd w:val="clear" w:color="auto" w:fill="FFFFFF"/>
            <w:vAlign w:val="bottom"/>
          </w:tcPr>
          <w:p w14:paraId="7AE874ED" w14:textId="77777777" w:rsidR="00E3794D" w:rsidRDefault="00E3794D" w:rsidP="004500DF">
            <w:pPr>
              <w:pStyle w:val="CETBodytext"/>
              <w:ind w:right="-1"/>
              <w:rPr>
                <w:rFonts w:cs="Arial"/>
                <w:szCs w:val="18"/>
                <w:lang w:val="en-GB"/>
              </w:rPr>
            </w:pPr>
            <w:r w:rsidRPr="000D5E70">
              <w:rPr>
                <w:rFonts w:cs="Arial"/>
                <w:color w:val="000000" w:themeColor="text1"/>
                <w:szCs w:val="18"/>
              </w:rPr>
              <w:t>B</w:t>
            </w:r>
          </w:p>
        </w:tc>
        <w:tc>
          <w:tcPr>
            <w:tcW w:w="810" w:type="dxa"/>
            <w:tcBorders>
              <w:top w:val="nil"/>
              <w:left w:val="nil"/>
              <w:bottom w:val="nil"/>
              <w:right w:val="nil"/>
            </w:tcBorders>
            <w:shd w:val="clear" w:color="auto" w:fill="FFFFFF"/>
            <w:vAlign w:val="center"/>
          </w:tcPr>
          <w:p w14:paraId="42DAAAEC" w14:textId="77777777" w:rsidR="00E3794D" w:rsidRDefault="00E3794D" w:rsidP="004500DF">
            <w:pPr>
              <w:pStyle w:val="CETBodytext"/>
              <w:ind w:right="-1"/>
              <w:rPr>
                <w:rFonts w:cs="Arial"/>
                <w:szCs w:val="18"/>
                <w:lang w:val="en-GB"/>
              </w:rPr>
            </w:pPr>
            <w:r w:rsidRPr="000D5E70">
              <w:rPr>
                <w:rFonts w:cs="Arial"/>
                <w:color w:val="000000" w:themeColor="text1"/>
                <w:szCs w:val="18"/>
              </w:rPr>
              <w:t>2.535</w:t>
            </w:r>
          </w:p>
        </w:tc>
        <w:tc>
          <w:tcPr>
            <w:tcW w:w="810" w:type="dxa"/>
            <w:tcBorders>
              <w:top w:val="nil"/>
              <w:left w:val="nil"/>
              <w:bottom w:val="nil"/>
              <w:right w:val="nil"/>
            </w:tcBorders>
            <w:shd w:val="clear" w:color="auto" w:fill="FFFFFF"/>
            <w:vAlign w:val="center"/>
          </w:tcPr>
          <w:p w14:paraId="59DBFF44" w14:textId="77777777" w:rsidR="00E3794D" w:rsidRDefault="00E3794D" w:rsidP="004500DF">
            <w:pPr>
              <w:pStyle w:val="CETBodytext"/>
              <w:ind w:right="-1"/>
              <w:rPr>
                <w:rFonts w:cs="Arial"/>
                <w:szCs w:val="18"/>
                <w:lang w:val="en-GB"/>
              </w:rPr>
            </w:pPr>
            <w:r w:rsidRPr="000D5E70">
              <w:rPr>
                <w:rFonts w:cs="Arial"/>
                <w:color w:val="000000" w:themeColor="text1"/>
                <w:szCs w:val="18"/>
              </w:rPr>
              <w:t>2.426</w:t>
            </w:r>
          </w:p>
        </w:tc>
        <w:tc>
          <w:tcPr>
            <w:tcW w:w="720" w:type="dxa"/>
            <w:tcBorders>
              <w:top w:val="nil"/>
              <w:left w:val="nil"/>
              <w:bottom w:val="nil"/>
              <w:right w:val="nil"/>
            </w:tcBorders>
            <w:shd w:val="clear" w:color="auto" w:fill="FFFFFF"/>
            <w:vAlign w:val="center"/>
          </w:tcPr>
          <w:p w14:paraId="67DCC43E" w14:textId="77777777" w:rsidR="00E3794D" w:rsidRDefault="00E3794D" w:rsidP="004500DF">
            <w:pPr>
              <w:pStyle w:val="CETBodytext"/>
              <w:ind w:right="-1"/>
              <w:rPr>
                <w:rFonts w:cs="Arial"/>
                <w:szCs w:val="18"/>
                <w:lang w:val="en-GB"/>
              </w:rPr>
            </w:pPr>
            <w:r w:rsidRPr="000D5E70">
              <w:rPr>
                <w:rFonts w:cs="Arial"/>
                <w:color w:val="000000" w:themeColor="text1"/>
                <w:szCs w:val="18"/>
              </w:rPr>
              <w:t>2.530</w:t>
            </w:r>
          </w:p>
        </w:tc>
        <w:tc>
          <w:tcPr>
            <w:tcW w:w="900" w:type="dxa"/>
            <w:tcBorders>
              <w:top w:val="nil"/>
              <w:left w:val="nil"/>
              <w:bottom w:val="nil"/>
              <w:right w:val="nil"/>
            </w:tcBorders>
            <w:shd w:val="clear" w:color="auto" w:fill="FFFFFF"/>
            <w:vAlign w:val="center"/>
          </w:tcPr>
          <w:p w14:paraId="1B6177FC" w14:textId="77777777" w:rsidR="00E3794D" w:rsidRDefault="00E3794D" w:rsidP="004500DF">
            <w:pPr>
              <w:pStyle w:val="CETBodytext"/>
              <w:ind w:right="-1"/>
              <w:rPr>
                <w:rFonts w:cs="Arial"/>
                <w:szCs w:val="18"/>
                <w:lang w:val="en-GB"/>
              </w:rPr>
            </w:pPr>
            <w:r w:rsidRPr="000D5E70">
              <w:rPr>
                <w:rFonts w:cs="Arial"/>
                <w:color w:val="000000" w:themeColor="text1"/>
                <w:szCs w:val="18"/>
              </w:rPr>
              <w:t>2.470</w:t>
            </w:r>
          </w:p>
        </w:tc>
        <w:tc>
          <w:tcPr>
            <w:tcW w:w="810" w:type="dxa"/>
            <w:tcBorders>
              <w:top w:val="nil"/>
              <w:left w:val="nil"/>
              <w:bottom w:val="nil"/>
              <w:right w:val="nil"/>
            </w:tcBorders>
            <w:shd w:val="clear" w:color="auto" w:fill="FFFFFF"/>
            <w:vAlign w:val="center"/>
          </w:tcPr>
          <w:p w14:paraId="0544C2E3" w14:textId="77777777" w:rsidR="00E3794D" w:rsidRDefault="00E3794D" w:rsidP="004500DF">
            <w:pPr>
              <w:pStyle w:val="CETBodytext"/>
              <w:ind w:right="-1"/>
              <w:rPr>
                <w:rFonts w:cs="Arial"/>
                <w:szCs w:val="18"/>
                <w:lang w:val="en-GB"/>
              </w:rPr>
            </w:pPr>
            <w:r w:rsidRPr="000D5E70">
              <w:rPr>
                <w:rFonts w:cs="Arial"/>
                <w:color w:val="000000" w:themeColor="text1"/>
                <w:szCs w:val="18"/>
              </w:rPr>
              <w:t>3.042</w:t>
            </w:r>
          </w:p>
        </w:tc>
        <w:tc>
          <w:tcPr>
            <w:tcW w:w="720" w:type="dxa"/>
            <w:tcBorders>
              <w:top w:val="nil"/>
              <w:left w:val="nil"/>
              <w:bottom w:val="nil"/>
              <w:right w:val="nil"/>
            </w:tcBorders>
            <w:shd w:val="clear" w:color="auto" w:fill="FFFFFF"/>
            <w:vAlign w:val="center"/>
          </w:tcPr>
          <w:p w14:paraId="39F524C1" w14:textId="77777777" w:rsidR="00E3794D" w:rsidRDefault="00E3794D" w:rsidP="004500DF">
            <w:pPr>
              <w:pStyle w:val="CETBodytext"/>
              <w:ind w:right="-1"/>
              <w:rPr>
                <w:rFonts w:cs="Arial"/>
                <w:szCs w:val="18"/>
                <w:lang w:val="en-GB"/>
              </w:rPr>
            </w:pPr>
            <w:r w:rsidRPr="000D5E70">
              <w:rPr>
                <w:rFonts w:cs="Arial"/>
                <w:color w:val="000000" w:themeColor="text1"/>
                <w:szCs w:val="18"/>
              </w:rPr>
              <w:t>2.894</w:t>
            </w:r>
          </w:p>
        </w:tc>
        <w:tc>
          <w:tcPr>
            <w:tcW w:w="900" w:type="dxa"/>
            <w:tcBorders>
              <w:top w:val="nil"/>
              <w:left w:val="nil"/>
              <w:bottom w:val="nil"/>
              <w:right w:val="nil"/>
            </w:tcBorders>
            <w:shd w:val="clear" w:color="auto" w:fill="FFFFFF"/>
            <w:vAlign w:val="center"/>
          </w:tcPr>
          <w:p w14:paraId="0C8FD2FD" w14:textId="77777777" w:rsidR="00E3794D" w:rsidRDefault="00E3794D" w:rsidP="004500DF">
            <w:pPr>
              <w:pStyle w:val="CETBodytext"/>
              <w:ind w:right="-1"/>
              <w:rPr>
                <w:rFonts w:cs="Arial"/>
                <w:szCs w:val="18"/>
                <w:lang w:val="en-GB"/>
              </w:rPr>
            </w:pPr>
            <w:r w:rsidRPr="000D5E70">
              <w:rPr>
                <w:rFonts w:cs="Arial"/>
                <w:color w:val="000000" w:themeColor="text1"/>
                <w:szCs w:val="18"/>
              </w:rPr>
              <w:t>2.923</w:t>
            </w:r>
          </w:p>
        </w:tc>
        <w:tc>
          <w:tcPr>
            <w:tcW w:w="867" w:type="dxa"/>
            <w:tcBorders>
              <w:top w:val="nil"/>
              <w:left w:val="nil"/>
              <w:bottom w:val="nil"/>
              <w:right w:val="nil"/>
            </w:tcBorders>
            <w:shd w:val="clear" w:color="auto" w:fill="FFFFFF"/>
            <w:vAlign w:val="center"/>
          </w:tcPr>
          <w:p w14:paraId="049DE358" w14:textId="77777777" w:rsidR="00E3794D" w:rsidRDefault="00E3794D" w:rsidP="004500DF">
            <w:pPr>
              <w:pStyle w:val="CETBodytext"/>
              <w:ind w:right="-1"/>
              <w:rPr>
                <w:rFonts w:cs="Arial"/>
                <w:szCs w:val="18"/>
                <w:lang w:val="en-GB"/>
              </w:rPr>
            </w:pPr>
            <w:r w:rsidRPr="000D5E70">
              <w:rPr>
                <w:rFonts w:cs="Arial"/>
                <w:color w:val="000000" w:themeColor="text1"/>
                <w:szCs w:val="18"/>
              </w:rPr>
              <w:t>2.789</w:t>
            </w:r>
          </w:p>
        </w:tc>
      </w:tr>
      <w:tr w:rsidR="00E3794D" w14:paraId="2B1D6A6B" w14:textId="77777777" w:rsidTr="004500DF">
        <w:tc>
          <w:tcPr>
            <w:tcW w:w="1170" w:type="dxa"/>
            <w:vMerge/>
            <w:tcBorders>
              <w:top w:val="nil"/>
              <w:left w:val="nil"/>
              <w:bottom w:val="nil"/>
              <w:right w:val="nil"/>
            </w:tcBorders>
            <w:shd w:val="clear" w:color="auto" w:fill="FFFFFF"/>
          </w:tcPr>
          <w:p w14:paraId="58A5FA82" w14:textId="77777777" w:rsidR="00E3794D" w:rsidRPr="000D5E70" w:rsidRDefault="00E3794D" w:rsidP="004500DF">
            <w:pPr>
              <w:pStyle w:val="CETBodytext"/>
              <w:ind w:right="-1"/>
              <w:rPr>
                <w:rFonts w:cs="Arial"/>
                <w:color w:val="000000" w:themeColor="text1"/>
                <w:szCs w:val="18"/>
              </w:rPr>
            </w:pPr>
          </w:p>
        </w:tc>
        <w:tc>
          <w:tcPr>
            <w:tcW w:w="1170" w:type="dxa"/>
            <w:tcBorders>
              <w:top w:val="nil"/>
              <w:left w:val="nil"/>
              <w:bottom w:val="nil"/>
              <w:right w:val="nil"/>
            </w:tcBorders>
            <w:shd w:val="clear" w:color="auto" w:fill="FFFFFF"/>
            <w:vAlign w:val="bottom"/>
          </w:tcPr>
          <w:p w14:paraId="72882D95" w14:textId="77777777" w:rsidR="00E3794D" w:rsidRDefault="00E3794D" w:rsidP="004500DF">
            <w:pPr>
              <w:pStyle w:val="CETBodytext"/>
              <w:ind w:right="-1"/>
              <w:rPr>
                <w:rFonts w:cs="Arial"/>
                <w:szCs w:val="18"/>
                <w:lang w:val="en-GB"/>
              </w:rPr>
            </w:pPr>
            <w:r w:rsidRPr="000D5E70">
              <w:rPr>
                <w:rFonts w:cs="Arial"/>
                <w:color w:val="000000" w:themeColor="text1"/>
                <w:szCs w:val="18"/>
              </w:rPr>
              <w:t>R</w:t>
            </w:r>
            <w:r w:rsidRPr="000D5E70">
              <w:rPr>
                <w:rFonts w:cs="Arial"/>
                <w:color w:val="000000" w:themeColor="text1"/>
                <w:szCs w:val="18"/>
                <w:vertAlign w:val="superscript"/>
              </w:rPr>
              <w:t>2</w:t>
            </w:r>
          </w:p>
        </w:tc>
        <w:tc>
          <w:tcPr>
            <w:tcW w:w="810" w:type="dxa"/>
            <w:tcBorders>
              <w:top w:val="nil"/>
              <w:left w:val="nil"/>
              <w:bottom w:val="nil"/>
              <w:right w:val="nil"/>
            </w:tcBorders>
            <w:shd w:val="clear" w:color="auto" w:fill="FFFFFF"/>
            <w:vAlign w:val="bottom"/>
          </w:tcPr>
          <w:p w14:paraId="6D499D98" w14:textId="77777777" w:rsidR="00E3794D" w:rsidRDefault="00E3794D" w:rsidP="004500DF">
            <w:pPr>
              <w:pStyle w:val="CETBodytext"/>
              <w:ind w:right="-1"/>
              <w:rPr>
                <w:rFonts w:cs="Arial"/>
                <w:szCs w:val="18"/>
                <w:lang w:val="en-GB"/>
              </w:rPr>
            </w:pPr>
            <w:r w:rsidRPr="000D5E70">
              <w:rPr>
                <w:rFonts w:cs="Arial"/>
                <w:color w:val="000000" w:themeColor="text1"/>
                <w:szCs w:val="18"/>
              </w:rPr>
              <w:t>0.998</w:t>
            </w:r>
          </w:p>
        </w:tc>
        <w:tc>
          <w:tcPr>
            <w:tcW w:w="810" w:type="dxa"/>
            <w:tcBorders>
              <w:top w:val="nil"/>
              <w:left w:val="nil"/>
              <w:bottom w:val="nil"/>
              <w:right w:val="nil"/>
            </w:tcBorders>
            <w:shd w:val="clear" w:color="auto" w:fill="FFFFFF"/>
            <w:vAlign w:val="bottom"/>
          </w:tcPr>
          <w:p w14:paraId="3C2FC2C9" w14:textId="77777777" w:rsidR="00E3794D" w:rsidRDefault="00E3794D" w:rsidP="004500DF">
            <w:pPr>
              <w:pStyle w:val="CETBodytext"/>
              <w:ind w:right="-1"/>
              <w:rPr>
                <w:rFonts w:cs="Arial"/>
                <w:szCs w:val="18"/>
                <w:lang w:val="en-GB"/>
              </w:rPr>
            </w:pPr>
            <w:r w:rsidRPr="000D5E70">
              <w:rPr>
                <w:rFonts w:cs="Arial"/>
                <w:color w:val="000000" w:themeColor="text1"/>
                <w:szCs w:val="18"/>
              </w:rPr>
              <w:t>0.998</w:t>
            </w:r>
          </w:p>
        </w:tc>
        <w:tc>
          <w:tcPr>
            <w:tcW w:w="720" w:type="dxa"/>
            <w:tcBorders>
              <w:top w:val="nil"/>
              <w:left w:val="nil"/>
              <w:bottom w:val="nil"/>
              <w:right w:val="nil"/>
            </w:tcBorders>
            <w:shd w:val="clear" w:color="auto" w:fill="FFFFFF"/>
            <w:vAlign w:val="bottom"/>
          </w:tcPr>
          <w:p w14:paraId="0F506886" w14:textId="77777777" w:rsidR="00E3794D" w:rsidRDefault="00E3794D" w:rsidP="004500DF">
            <w:pPr>
              <w:pStyle w:val="CETBodytext"/>
              <w:ind w:right="-1"/>
              <w:rPr>
                <w:rFonts w:cs="Arial"/>
                <w:szCs w:val="18"/>
                <w:lang w:val="en-GB"/>
              </w:rPr>
            </w:pPr>
            <w:r w:rsidRPr="000D5E70">
              <w:rPr>
                <w:rFonts w:cs="Arial"/>
                <w:color w:val="000000" w:themeColor="text1"/>
                <w:szCs w:val="18"/>
              </w:rPr>
              <w:t>0.997</w:t>
            </w:r>
          </w:p>
        </w:tc>
        <w:tc>
          <w:tcPr>
            <w:tcW w:w="900" w:type="dxa"/>
            <w:tcBorders>
              <w:top w:val="nil"/>
              <w:left w:val="nil"/>
              <w:bottom w:val="nil"/>
              <w:right w:val="nil"/>
            </w:tcBorders>
            <w:shd w:val="clear" w:color="auto" w:fill="FFFFFF"/>
            <w:vAlign w:val="bottom"/>
          </w:tcPr>
          <w:p w14:paraId="1AC68571" w14:textId="77777777" w:rsidR="00E3794D" w:rsidRDefault="00E3794D" w:rsidP="004500DF">
            <w:pPr>
              <w:pStyle w:val="CETBodytext"/>
              <w:ind w:right="-1"/>
              <w:rPr>
                <w:rFonts w:cs="Arial"/>
                <w:szCs w:val="18"/>
                <w:lang w:val="en-GB"/>
              </w:rPr>
            </w:pPr>
            <w:r w:rsidRPr="000D5E70">
              <w:rPr>
                <w:rFonts w:cs="Arial"/>
                <w:color w:val="000000" w:themeColor="text1"/>
                <w:szCs w:val="18"/>
              </w:rPr>
              <w:t>0.998</w:t>
            </w:r>
          </w:p>
        </w:tc>
        <w:tc>
          <w:tcPr>
            <w:tcW w:w="810" w:type="dxa"/>
            <w:tcBorders>
              <w:top w:val="nil"/>
              <w:left w:val="nil"/>
              <w:bottom w:val="nil"/>
              <w:right w:val="nil"/>
            </w:tcBorders>
            <w:shd w:val="clear" w:color="auto" w:fill="FFFFFF"/>
            <w:vAlign w:val="bottom"/>
          </w:tcPr>
          <w:p w14:paraId="4CFA12B2" w14:textId="77777777" w:rsidR="00E3794D" w:rsidRDefault="00E3794D" w:rsidP="004500DF">
            <w:pPr>
              <w:pStyle w:val="CETBodytext"/>
              <w:ind w:right="-1"/>
              <w:rPr>
                <w:rFonts w:cs="Arial"/>
                <w:szCs w:val="18"/>
                <w:lang w:val="en-GB"/>
              </w:rPr>
            </w:pPr>
            <w:r w:rsidRPr="000D5E70">
              <w:rPr>
                <w:rFonts w:cs="Arial"/>
                <w:color w:val="000000" w:themeColor="text1"/>
                <w:szCs w:val="18"/>
              </w:rPr>
              <w:t>0.996</w:t>
            </w:r>
          </w:p>
        </w:tc>
        <w:tc>
          <w:tcPr>
            <w:tcW w:w="720" w:type="dxa"/>
            <w:tcBorders>
              <w:top w:val="nil"/>
              <w:left w:val="nil"/>
              <w:bottom w:val="nil"/>
              <w:right w:val="nil"/>
            </w:tcBorders>
            <w:shd w:val="clear" w:color="auto" w:fill="FFFFFF"/>
            <w:vAlign w:val="bottom"/>
          </w:tcPr>
          <w:p w14:paraId="30AC1DEB" w14:textId="77777777" w:rsidR="00E3794D" w:rsidRDefault="00E3794D" w:rsidP="004500DF">
            <w:pPr>
              <w:pStyle w:val="CETBodytext"/>
              <w:ind w:right="-1"/>
              <w:rPr>
                <w:rFonts w:cs="Arial"/>
                <w:szCs w:val="18"/>
                <w:lang w:val="en-GB"/>
              </w:rPr>
            </w:pPr>
            <w:r w:rsidRPr="000D5E70">
              <w:rPr>
                <w:rFonts w:cs="Arial"/>
                <w:color w:val="000000" w:themeColor="text1"/>
                <w:szCs w:val="18"/>
              </w:rPr>
              <w:t>0.994</w:t>
            </w:r>
          </w:p>
        </w:tc>
        <w:tc>
          <w:tcPr>
            <w:tcW w:w="900" w:type="dxa"/>
            <w:tcBorders>
              <w:top w:val="nil"/>
              <w:left w:val="nil"/>
              <w:bottom w:val="nil"/>
              <w:right w:val="nil"/>
            </w:tcBorders>
            <w:shd w:val="clear" w:color="auto" w:fill="FFFFFF"/>
            <w:vAlign w:val="bottom"/>
          </w:tcPr>
          <w:p w14:paraId="56047F63" w14:textId="77777777" w:rsidR="00E3794D" w:rsidRDefault="00E3794D" w:rsidP="004500DF">
            <w:pPr>
              <w:pStyle w:val="CETBodytext"/>
              <w:ind w:right="-1"/>
              <w:rPr>
                <w:rFonts w:cs="Arial"/>
                <w:szCs w:val="18"/>
                <w:lang w:val="en-GB"/>
              </w:rPr>
            </w:pPr>
            <w:r w:rsidRPr="000D5E70">
              <w:rPr>
                <w:rFonts w:cs="Arial"/>
                <w:color w:val="000000" w:themeColor="text1"/>
                <w:szCs w:val="18"/>
              </w:rPr>
              <w:t>0.997</w:t>
            </w:r>
          </w:p>
        </w:tc>
        <w:tc>
          <w:tcPr>
            <w:tcW w:w="867" w:type="dxa"/>
            <w:tcBorders>
              <w:top w:val="nil"/>
              <w:left w:val="nil"/>
              <w:bottom w:val="nil"/>
              <w:right w:val="nil"/>
            </w:tcBorders>
            <w:shd w:val="clear" w:color="auto" w:fill="FFFFFF"/>
            <w:vAlign w:val="bottom"/>
          </w:tcPr>
          <w:p w14:paraId="0597C997" w14:textId="77777777" w:rsidR="00E3794D" w:rsidRDefault="00E3794D" w:rsidP="004500DF">
            <w:pPr>
              <w:pStyle w:val="CETBodytext"/>
              <w:ind w:right="-1"/>
              <w:rPr>
                <w:rFonts w:cs="Arial"/>
                <w:szCs w:val="18"/>
                <w:lang w:val="en-GB"/>
              </w:rPr>
            </w:pPr>
            <w:r w:rsidRPr="000D5E70">
              <w:rPr>
                <w:rFonts w:cs="Arial"/>
                <w:color w:val="000000" w:themeColor="text1"/>
                <w:szCs w:val="18"/>
              </w:rPr>
              <w:t>0.995</w:t>
            </w:r>
          </w:p>
        </w:tc>
      </w:tr>
      <w:tr w:rsidR="00E3794D" w14:paraId="433427F9" w14:textId="77777777" w:rsidTr="004500DF">
        <w:tc>
          <w:tcPr>
            <w:tcW w:w="1170" w:type="dxa"/>
            <w:vMerge/>
            <w:tcBorders>
              <w:top w:val="nil"/>
              <w:left w:val="nil"/>
              <w:bottom w:val="single" w:sz="6" w:space="0" w:color="008000"/>
              <w:right w:val="nil"/>
            </w:tcBorders>
            <w:shd w:val="clear" w:color="auto" w:fill="FFFFFF"/>
          </w:tcPr>
          <w:p w14:paraId="22884611" w14:textId="77777777" w:rsidR="00E3794D" w:rsidRPr="000D5E70" w:rsidRDefault="00E3794D" w:rsidP="004500DF">
            <w:pPr>
              <w:pStyle w:val="CETBodytext"/>
              <w:ind w:right="-1"/>
              <w:rPr>
                <w:rFonts w:cs="Arial"/>
                <w:color w:val="000000" w:themeColor="text1"/>
                <w:szCs w:val="18"/>
              </w:rPr>
            </w:pPr>
          </w:p>
        </w:tc>
        <w:tc>
          <w:tcPr>
            <w:tcW w:w="1170" w:type="dxa"/>
            <w:tcBorders>
              <w:top w:val="nil"/>
              <w:left w:val="nil"/>
              <w:bottom w:val="single" w:sz="6" w:space="0" w:color="008000"/>
              <w:right w:val="nil"/>
            </w:tcBorders>
            <w:shd w:val="clear" w:color="auto" w:fill="FFFFFF"/>
            <w:vAlign w:val="bottom"/>
          </w:tcPr>
          <w:p w14:paraId="60F4C0AE" w14:textId="77777777" w:rsidR="00E3794D" w:rsidRDefault="00E3794D" w:rsidP="004500DF">
            <w:pPr>
              <w:pStyle w:val="CETBodytext"/>
              <w:ind w:right="-1"/>
              <w:rPr>
                <w:rFonts w:cs="Arial"/>
                <w:szCs w:val="18"/>
                <w:lang w:val="en-GB"/>
              </w:rPr>
            </w:pPr>
            <w:r w:rsidRPr="000D5E70">
              <w:rPr>
                <w:rFonts w:cs="Arial"/>
                <w:color w:val="000000" w:themeColor="text1"/>
                <w:szCs w:val="18"/>
              </w:rPr>
              <w:t>E (%)</w:t>
            </w:r>
          </w:p>
        </w:tc>
        <w:tc>
          <w:tcPr>
            <w:tcW w:w="810" w:type="dxa"/>
            <w:tcBorders>
              <w:top w:val="nil"/>
              <w:left w:val="nil"/>
              <w:bottom w:val="single" w:sz="6" w:space="0" w:color="008000"/>
              <w:right w:val="nil"/>
            </w:tcBorders>
            <w:shd w:val="clear" w:color="auto" w:fill="FFFFFF"/>
            <w:vAlign w:val="bottom"/>
          </w:tcPr>
          <w:p w14:paraId="2890D07E" w14:textId="77777777" w:rsidR="00E3794D" w:rsidRDefault="00E3794D" w:rsidP="004500DF">
            <w:pPr>
              <w:pStyle w:val="CETBodytext"/>
              <w:ind w:right="-1"/>
              <w:rPr>
                <w:rFonts w:cs="Arial"/>
                <w:szCs w:val="18"/>
                <w:lang w:val="en-GB"/>
              </w:rPr>
            </w:pPr>
            <w:r w:rsidRPr="000D5E70">
              <w:rPr>
                <w:rFonts w:cs="Arial"/>
                <w:color w:val="000000" w:themeColor="text1"/>
                <w:szCs w:val="18"/>
              </w:rPr>
              <w:t>5.01</w:t>
            </w:r>
          </w:p>
        </w:tc>
        <w:tc>
          <w:tcPr>
            <w:tcW w:w="810" w:type="dxa"/>
            <w:tcBorders>
              <w:top w:val="nil"/>
              <w:left w:val="nil"/>
              <w:bottom w:val="single" w:sz="6" w:space="0" w:color="008000"/>
              <w:right w:val="nil"/>
            </w:tcBorders>
            <w:shd w:val="clear" w:color="auto" w:fill="FFFFFF"/>
            <w:vAlign w:val="bottom"/>
          </w:tcPr>
          <w:p w14:paraId="569B4039" w14:textId="77777777" w:rsidR="00E3794D" w:rsidRDefault="00E3794D" w:rsidP="004500DF">
            <w:pPr>
              <w:pStyle w:val="CETBodytext"/>
              <w:ind w:right="-1"/>
              <w:rPr>
                <w:rFonts w:cs="Arial"/>
                <w:szCs w:val="18"/>
                <w:lang w:val="en-GB"/>
              </w:rPr>
            </w:pPr>
            <w:r w:rsidRPr="000D5E70">
              <w:rPr>
                <w:rFonts w:cs="Arial"/>
                <w:color w:val="000000" w:themeColor="text1"/>
                <w:szCs w:val="18"/>
              </w:rPr>
              <w:t>7.64</w:t>
            </w:r>
          </w:p>
        </w:tc>
        <w:tc>
          <w:tcPr>
            <w:tcW w:w="720" w:type="dxa"/>
            <w:tcBorders>
              <w:top w:val="nil"/>
              <w:left w:val="nil"/>
              <w:bottom w:val="single" w:sz="6" w:space="0" w:color="008000"/>
              <w:right w:val="nil"/>
            </w:tcBorders>
            <w:shd w:val="clear" w:color="auto" w:fill="FFFFFF"/>
            <w:vAlign w:val="bottom"/>
          </w:tcPr>
          <w:p w14:paraId="1CFBAB5E" w14:textId="77777777" w:rsidR="00E3794D" w:rsidRDefault="00E3794D" w:rsidP="004500DF">
            <w:pPr>
              <w:pStyle w:val="CETBodytext"/>
              <w:ind w:right="-1"/>
              <w:rPr>
                <w:rFonts w:cs="Arial"/>
                <w:szCs w:val="18"/>
                <w:lang w:val="en-GB"/>
              </w:rPr>
            </w:pPr>
            <w:r w:rsidRPr="000D5E70">
              <w:rPr>
                <w:rFonts w:cs="Arial"/>
                <w:color w:val="000000" w:themeColor="text1"/>
                <w:szCs w:val="18"/>
              </w:rPr>
              <w:t>6.33</w:t>
            </w:r>
          </w:p>
        </w:tc>
        <w:tc>
          <w:tcPr>
            <w:tcW w:w="900" w:type="dxa"/>
            <w:tcBorders>
              <w:top w:val="nil"/>
              <w:left w:val="nil"/>
              <w:bottom w:val="single" w:sz="6" w:space="0" w:color="008000"/>
              <w:right w:val="nil"/>
            </w:tcBorders>
            <w:shd w:val="clear" w:color="auto" w:fill="FFFFFF"/>
            <w:vAlign w:val="bottom"/>
          </w:tcPr>
          <w:p w14:paraId="7DE9F4C2" w14:textId="77777777" w:rsidR="00E3794D" w:rsidRDefault="00E3794D" w:rsidP="004500DF">
            <w:pPr>
              <w:pStyle w:val="CETBodytext"/>
              <w:ind w:right="-1"/>
              <w:rPr>
                <w:rFonts w:cs="Arial"/>
                <w:szCs w:val="18"/>
                <w:lang w:val="en-GB"/>
              </w:rPr>
            </w:pPr>
            <w:r w:rsidRPr="000D5E70">
              <w:rPr>
                <w:rFonts w:cs="Arial"/>
                <w:color w:val="000000" w:themeColor="text1"/>
                <w:szCs w:val="18"/>
              </w:rPr>
              <w:t>9.30</w:t>
            </w:r>
          </w:p>
        </w:tc>
        <w:tc>
          <w:tcPr>
            <w:tcW w:w="810" w:type="dxa"/>
            <w:tcBorders>
              <w:top w:val="nil"/>
              <w:left w:val="nil"/>
              <w:bottom w:val="single" w:sz="6" w:space="0" w:color="008000"/>
              <w:right w:val="nil"/>
            </w:tcBorders>
            <w:shd w:val="clear" w:color="auto" w:fill="FFFFFF"/>
            <w:vAlign w:val="bottom"/>
          </w:tcPr>
          <w:p w14:paraId="135FBED9" w14:textId="77777777" w:rsidR="00E3794D" w:rsidRDefault="00E3794D" w:rsidP="004500DF">
            <w:pPr>
              <w:pStyle w:val="CETBodytext"/>
              <w:ind w:right="-1"/>
              <w:rPr>
                <w:rFonts w:cs="Arial"/>
                <w:szCs w:val="18"/>
                <w:lang w:val="en-GB"/>
              </w:rPr>
            </w:pPr>
            <w:r w:rsidRPr="000D5E70">
              <w:rPr>
                <w:rFonts w:cs="Arial"/>
                <w:color w:val="000000" w:themeColor="text1"/>
                <w:szCs w:val="18"/>
              </w:rPr>
              <w:t>7.81</w:t>
            </w:r>
          </w:p>
        </w:tc>
        <w:tc>
          <w:tcPr>
            <w:tcW w:w="720" w:type="dxa"/>
            <w:tcBorders>
              <w:top w:val="nil"/>
              <w:left w:val="nil"/>
              <w:bottom w:val="single" w:sz="6" w:space="0" w:color="008000"/>
              <w:right w:val="nil"/>
            </w:tcBorders>
            <w:shd w:val="clear" w:color="auto" w:fill="FFFFFF"/>
            <w:vAlign w:val="bottom"/>
          </w:tcPr>
          <w:p w14:paraId="5B2954C9" w14:textId="77777777" w:rsidR="00E3794D" w:rsidRDefault="00E3794D" w:rsidP="004500DF">
            <w:pPr>
              <w:pStyle w:val="CETBodytext"/>
              <w:ind w:right="-1"/>
              <w:rPr>
                <w:rFonts w:cs="Arial"/>
                <w:szCs w:val="18"/>
                <w:lang w:val="en-GB"/>
              </w:rPr>
            </w:pPr>
            <w:r w:rsidRPr="000D5E70">
              <w:rPr>
                <w:rFonts w:cs="Arial"/>
                <w:color w:val="000000" w:themeColor="text1"/>
                <w:szCs w:val="18"/>
              </w:rPr>
              <w:t>11.59</w:t>
            </w:r>
          </w:p>
        </w:tc>
        <w:tc>
          <w:tcPr>
            <w:tcW w:w="900" w:type="dxa"/>
            <w:tcBorders>
              <w:top w:val="nil"/>
              <w:left w:val="nil"/>
              <w:bottom w:val="single" w:sz="6" w:space="0" w:color="008000"/>
              <w:right w:val="nil"/>
            </w:tcBorders>
            <w:shd w:val="clear" w:color="auto" w:fill="FFFFFF"/>
            <w:vAlign w:val="bottom"/>
          </w:tcPr>
          <w:p w14:paraId="5BA68792" w14:textId="77777777" w:rsidR="00E3794D" w:rsidRDefault="00E3794D" w:rsidP="004500DF">
            <w:pPr>
              <w:pStyle w:val="CETBodytext"/>
              <w:ind w:right="-1"/>
              <w:rPr>
                <w:rFonts w:cs="Arial"/>
                <w:szCs w:val="18"/>
                <w:lang w:val="en-GB"/>
              </w:rPr>
            </w:pPr>
            <w:r w:rsidRPr="000D5E70">
              <w:rPr>
                <w:rFonts w:cs="Arial"/>
                <w:color w:val="000000" w:themeColor="text1"/>
                <w:szCs w:val="18"/>
              </w:rPr>
              <w:t>10.60</w:t>
            </w:r>
          </w:p>
        </w:tc>
        <w:tc>
          <w:tcPr>
            <w:tcW w:w="867" w:type="dxa"/>
            <w:tcBorders>
              <w:top w:val="nil"/>
              <w:left w:val="nil"/>
              <w:bottom w:val="single" w:sz="6" w:space="0" w:color="008000"/>
              <w:right w:val="nil"/>
            </w:tcBorders>
            <w:shd w:val="clear" w:color="auto" w:fill="FFFFFF"/>
            <w:vAlign w:val="bottom"/>
          </w:tcPr>
          <w:p w14:paraId="1EABE31A" w14:textId="77777777" w:rsidR="00E3794D" w:rsidRDefault="00E3794D" w:rsidP="004500DF">
            <w:pPr>
              <w:pStyle w:val="CETBodytext"/>
              <w:ind w:right="-1"/>
              <w:rPr>
                <w:rFonts w:cs="Arial"/>
                <w:szCs w:val="18"/>
                <w:lang w:val="en-GB"/>
              </w:rPr>
            </w:pPr>
            <w:r w:rsidRPr="000D5E70">
              <w:rPr>
                <w:rFonts w:cs="Arial"/>
                <w:color w:val="000000" w:themeColor="text1"/>
                <w:szCs w:val="18"/>
              </w:rPr>
              <w:t>12.23</w:t>
            </w:r>
          </w:p>
        </w:tc>
      </w:tr>
      <w:tr w:rsidR="00E3794D" w14:paraId="5E1C1B4D" w14:textId="77777777" w:rsidTr="004500DF">
        <w:tc>
          <w:tcPr>
            <w:tcW w:w="1170" w:type="dxa"/>
            <w:vMerge w:val="restart"/>
            <w:tcBorders>
              <w:top w:val="single" w:sz="6" w:space="0" w:color="008000"/>
              <w:left w:val="nil"/>
              <w:right w:val="nil"/>
            </w:tcBorders>
            <w:shd w:val="clear" w:color="auto" w:fill="FFFFFF"/>
          </w:tcPr>
          <w:p w14:paraId="42EE58E5" w14:textId="77777777" w:rsidR="00E3794D" w:rsidRPr="000D5E70" w:rsidRDefault="00E3794D" w:rsidP="004500DF">
            <w:pPr>
              <w:pStyle w:val="CETBodytext"/>
              <w:ind w:right="-1"/>
              <w:rPr>
                <w:rFonts w:cs="Arial"/>
                <w:color w:val="000000" w:themeColor="text1"/>
                <w:szCs w:val="18"/>
              </w:rPr>
            </w:pPr>
            <w:r>
              <w:rPr>
                <w:rFonts w:cs="Arial"/>
                <w:color w:val="000000" w:themeColor="text1"/>
                <w:szCs w:val="18"/>
              </w:rPr>
              <w:t>Oswin</w:t>
            </w:r>
          </w:p>
        </w:tc>
        <w:tc>
          <w:tcPr>
            <w:tcW w:w="1170" w:type="dxa"/>
            <w:tcBorders>
              <w:top w:val="single" w:sz="6" w:space="0" w:color="008000"/>
              <w:left w:val="nil"/>
              <w:bottom w:val="nil"/>
              <w:right w:val="nil"/>
            </w:tcBorders>
            <w:shd w:val="clear" w:color="auto" w:fill="FFFFFF"/>
            <w:vAlign w:val="bottom"/>
          </w:tcPr>
          <w:p w14:paraId="4CD51013" w14:textId="77777777" w:rsidR="00E3794D" w:rsidRDefault="00E3794D" w:rsidP="004500DF">
            <w:pPr>
              <w:pStyle w:val="CETBodytext"/>
              <w:ind w:right="-1"/>
              <w:rPr>
                <w:rFonts w:cs="Arial"/>
                <w:szCs w:val="18"/>
                <w:lang w:val="en-GB"/>
              </w:rPr>
            </w:pPr>
            <w:r w:rsidRPr="000D5E70">
              <w:rPr>
                <w:rFonts w:cs="Arial"/>
                <w:color w:val="000000" w:themeColor="text1"/>
                <w:szCs w:val="18"/>
              </w:rPr>
              <w:t>A</w:t>
            </w:r>
          </w:p>
        </w:tc>
        <w:tc>
          <w:tcPr>
            <w:tcW w:w="810" w:type="dxa"/>
            <w:tcBorders>
              <w:top w:val="single" w:sz="6" w:space="0" w:color="008000"/>
              <w:left w:val="nil"/>
              <w:bottom w:val="nil"/>
              <w:right w:val="nil"/>
            </w:tcBorders>
            <w:shd w:val="clear" w:color="auto" w:fill="FFFFFF"/>
            <w:vAlign w:val="center"/>
          </w:tcPr>
          <w:p w14:paraId="24D67C4D" w14:textId="77777777" w:rsidR="00E3794D" w:rsidRDefault="00E3794D" w:rsidP="004500DF">
            <w:pPr>
              <w:pStyle w:val="CETBodytext"/>
              <w:ind w:right="-1"/>
              <w:rPr>
                <w:rFonts w:cs="Arial"/>
                <w:szCs w:val="18"/>
                <w:lang w:val="en-GB"/>
              </w:rPr>
            </w:pPr>
            <w:r w:rsidRPr="000D5E70">
              <w:rPr>
                <w:rFonts w:cs="Arial"/>
                <w:color w:val="000000" w:themeColor="text1"/>
                <w:szCs w:val="18"/>
              </w:rPr>
              <w:t>0.145</w:t>
            </w:r>
          </w:p>
        </w:tc>
        <w:tc>
          <w:tcPr>
            <w:tcW w:w="810" w:type="dxa"/>
            <w:tcBorders>
              <w:top w:val="single" w:sz="6" w:space="0" w:color="008000"/>
              <w:left w:val="nil"/>
              <w:bottom w:val="nil"/>
              <w:right w:val="nil"/>
            </w:tcBorders>
            <w:shd w:val="clear" w:color="auto" w:fill="FFFFFF"/>
            <w:vAlign w:val="center"/>
          </w:tcPr>
          <w:p w14:paraId="536B4FD1" w14:textId="77777777" w:rsidR="00E3794D" w:rsidRDefault="00E3794D" w:rsidP="004500DF">
            <w:pPr>
              <w:pStyle w:val="CETBodytext"/>
              <w:ind w:right="-1"/>
              <w:rPr>
                <w:rFonts w:cs="Arial"/>
                <w:szCs w:val="18"/>
                <w:lang w:val="en-GB"/>
              </w:rPr>
            </w:pPr>
            <w:r w:rsidRPr="000D5E70">
              <w:rPr>
                <w:rFonts w:cs="Arial"/>
                <w:color w:val="000000" w:themeColor="text1"/>
                <w:szCs w:val="18"/>
              </w:rPr>
              <w:t>0.156</w:t>
            </w:r>
          </w:p>
        </w:tc>
        <w:tc>
          <w:tcPr>
            <w:tcW w:w="720" w:type="dxa"/>
            <w:tcBorders>
              <w:top w:val="single" w:sz="6" w:space="0" w:color="008000"/>
              <w:left w:val="nil"/>
              <w:bottom w:val="nil"/>
              <w:right w:val="nil"/>
            </w:tcBorders>
            <w:shd w:val="clear" w:color="auto" w:fill="FFFFFF"/>
            <w:vAlign w:val="center"/>
          </w:tcPr>
          <w:p w14:paraId="56E1E775" w14:textId="77777777" w:rsidR="00E3794D" w:rsidRDefault="00E3794D" w:rsidP="004500DF">
            <w:pPr>
              <w:pStyle w:val="CETBodytext"/>
              <w:ind w:right="-1"/>
              <w:rPr>
                <w:rFonts w:cs="Arial"/>
                <w:szCs w:val="18"/>
                <w:lang w:val="en-GB"/>
              </w:rPr>
            </w:pPr>
            <w:r w:rsidRPr="000D5E70">
              <w:rPr>
                <w:rFonts w:cs="Arial"/>
                <w:color w:val="000000" w:themeColor="text1"/>
                <w:szCs w:val="18"/>
              </w:rPr>
              <w:t>0.106</w:t>
            </w:r>
          </w:p>
        </w:tc>
        <w:tc>
          <w:tcPr>
            <w:tcW w:w="900" w:type="dxa"/>
            <w:tcBorders>
              <w:top w:val="single" w:sz="6" w:space="0" w:color="008000"/>
              <w:left w:val="nil"/>
              <w:bottom w:val="nil"/>
              <w:right w:val="nil"/>
            </w:tcBorders>
            <w:shd w:val="clear" w:color="auto" w:fill="FFFFFF"/>
            <w:vAlign w:val="center"/>
          </w:tcPr>
          <w:p w14:paraId="337947E0" w14:textId="77777777" w:rsidR="00E3794D" w:rsidRDefault="00E3794D" w:rsidP="004500DF">
            <w:pPr>
              <w:pStyle w:val="CETBodytext"/>
              <w:ind w:right="-1"/>
              <w:rPr>
                <w:rFonts w:cs="Arial"/>
                <w:szCs w:val="18"/>
                <w:lang w:val="en-GB"/>
              </w:rPr>
            </w:pPr>
            <w:r w:rsidRPr="000D5E70">
              <w:rPr>
                <w:rFonts w:cs="Arial"/>
                <w:color w:val="000000" w:themeColor="text1"/>
                <w:szCs w:val="18"/>
              </w:rPr>
              <w:t>0.1262</w:t>
            </w:r>
          </w:p>
        </w:tc>
        <w:tc>
          <w:tcPr>
            <w:tcW w:w="810" w:type="dxa"/>
            <w:tcBorders>
              <w:top w:val="single" w:sz="6" w:space="0" w:color="008000"/>
              <w:left w:val="nil"/>
              <w:bottom w:val="nil"/>
              <w:right w:val="nil"/>
            </w:tcBorders>
            <w:shd w:val="clear" w:color="auto" w:fill="FFFFFF"/>
            <w:vAlign w:val="center"/>
          </w:tcPr>
          <w:p w14:paraId="4EC72415" w14:textId="77777777" w:rsidR="00E3794D" w:rsidRDefault="00E3794D" w:rsidP="004500DF">
            <w:pPr>
              <w:pStyle w:val="CETBodytext"/>
              <w:ind w:right="-1"/>
              <w:rPr>
                <w:rFonts w:cs="Arial"/>
                <w:szCs w:val="18"/>
                <w:lang w:val="en-GB"/>
              </w:rPr>
            </w:pPr>
            <w:r w:rsidRPr="000D5E70">
              <w:rPr>
                <w:rFonts w:cs="Arial"/>
                <w:color w:val="000000" w:themeColor="text1"/>
                <w:szCs w:val="18"/>
              </w:rPr>
              <w:t>0.107</w:t>
            </w:r>
          </w:p>
        </w:tc>
        <w:tc>
          <w:tcPr>
            <w:tcW w:w="720" w:type="dxa"/>
            <w:tcBorders>
              <w:top w:val="single" w:sz="6" w:space="0" w:color="008000"/>
              <w:left w:val="nil"/>
              <w:bottom w:val="nil"/>
              <w:right w:val="nil"/>
            </w:tcBorders>
            <w:shd w:val="clear" w:color="auto" w:fill="FFFFFF"/>
            <w:vAlign w:val="center"/>
          </w:tcPr>
          <w:p w14:paraId="48C00CF3" w14:textId="77777777" w:rsidR="00E3794D" w:rsidRDefault="00E3794D" w:rsidP="004500DF">
            <w:pPr>
              <w:pStyle w:val="CETBodytext"/>
              <w:ind w:right="-1"/>
              <w:rPr>
                <w:rFonts w:cs="Arial"/>
                <w:szCs w:val="18"/>
                <w:lang w:val="en-GB"/>
              </w:rPr>
            </w:pPr>
            <w:r w:rsidRPr="000D5E70">
              <w:rPr>
                <w:rFonts w:cs="Arial"/>
                <w:color w:val="000000" w:themeColor="text1"/>
                <w:szCs w:val="18"/>
              </w:rPr>
              <w:t>0.116</w:t>
            </w:r>
          </w:p>
        </w:tc>
        <w:tc>
          <w:tcPr>
            <w:tcW w:w="900" w:type="dxa"/>
            <w:tcBorders>
              <w:top w:val="single" w:sz="6" w:space="0" w:color="008000"/>
              <w:left w:val="nil"/>
              <w:bottom w:val="nil"/>
              <w:right w:val="nil"/>
            </w:tcBorders>
            <w:shd w:val="clear" w:color="auto" w:fill="FFFFFF"/>
            <w:vAlign w:val="center"/>
          </w:tcPr>
          <w:p w14:paraId="0ABD9F85" w14:textId="77777777" w:rsidR="00E3794D" w:rsidRDefault="00E3794D" w:rsidP="004500DF">
            <w:pPr>
              <w:pStyle w:val="CETBodytext"/>
              <w:ind w:right="-1"/>
              <w:rPr>
                <w:rFonts w:cs="Arial"/>
                <w:szCs w:val="18"/>
                <w:lang w:val="en-GB"/>
              </w:rPr>
            </w:pPr>
            <w:r w:rsidRPr="000D5E70">
              <w:rPr>
                <w:rFonts w:cs="Arial"/>
                <w:color w:val="000000" w:themeColor="text1"/>
                <w:szCs w:val="18"/>
              </w:rPr>
              <w:t>0.096</w:t>
            </w:r>
          </w:p>
        </w:tc>
        <w:tc>
          <w:tcPr>
            <w:tcW w:w="867" w:type="dxa"/>
            <w:tcBorders>
              <w:top w:val="single" w:sz="6" w:space="0" w:color="008000"/>
              <w:left w:val="nil"/>
              <w:bottom w:val="nil"/>
              <w:right w:val="nil"/>
            </w:tcBorders>
            <w:shd w:val="clear" w:color="auto" w:fill="FFFFFF"/>
            <w:vAlign w:val="center"/>
          </w:tcPr>
          <w:p w14:paraId="279D719B" w14:textId="77777777" w:rsidR="00E3794D" w:rsidRDefault="00E3794D" w:rsidP="004500DF">
            <w:pPr>
              <w:pStyle w:val="CETBodytext"/>
              <w:ind w:right="-1"/>
              <w:rPr>
                <w:rFonts w:cs="Arial"/>
                <w:szCs w:val="18"/>
                <w:lang w:val="en-GB"/>
              </w:rPr>
            </w:pPr>
            <w:r w:rsidRPr="000D5E70">
              <w:rPr>
                <w:rFonts w:cs="Arial"/>
                <w:color w:val="000000" w:themeColor="text1"/>
                <w:szCs w:val="18"/>
              </w:rPr>
              <w:t>0.106</w:t>
            </w:r>
          </w:p>
        </w:tc>
      </w:tr>
      <w:tr w:rsidR="00E3794D" w14:paraId="6B35AEE4" w14:textId="77777777" w:rsidTr="004500DF">
        <w:tc>
          <w:tcPr>
            <w:tcW w:w="1170" w:type="dxa"/>
            <w:vMerge/>
            <w:tcBorders>
              <w:left w:val="nil"/>
              <w:right w:val="nil"/>
            </w:tcBorders>
            <w:shd w:val="clear" w:color="auto" w:fill="FFFFFF"/>
          </w:tcPr>
          <w:p w14:paraId="77504A90" w14:textId="77777777" w:rsidR="00E3794D" w:rsidRPr="000D5E70" w:rsidRDefault="00E3794D" w:rsidP="004500DF">
            <w:pPr>
              <w:pStyle w:val="CETBodytext"/>
              <w:ind w:right="-1"/>
              <w:rPr>
                <w:rFonts w:cs="Arial"/>
                <w:color w:val="000000" w:themeColor="text1"/>
                <w:szCs w:val="18"/>
              </w:rPr>
            </w:pPr>
          </w:p>
        </w:tc>
        <w:tc>
          <w:tcPr>
            <w:tcW w:w="1170" w:type="dxa"/>
            <w:tcBorders>
              <w:top w:val="nil"/>
              <w:left w:val="nil"/>
              <w:bottom w:val="nil"/>
              <w:right w:val="nil"/>
            </w:tcBorders>
            <w:shd w:val="clear" w:color="auto" w:fill="FFFFFF"/>
            <w:vAlign w:val="bottom"/>
          </w:tcPr>
          <w:p w14:paraId="5E495E3D" w14:textId="77777777" w:rsidR="00E3794D" w:rsidRDefault="00E3794D" w:rsidP="004500DF">
            <w:pPr>
              <w:pStyle w:val="CETBodytext"/>
              <w:ind w:right="-1"/>
              <w:rPr>
                <w:rFonts w:cs="Arial"/>
                <w:szCs w:val="18"/>
                <w:lang w:val="en-GB"/>
              </w:rPr>
            </w:pPr>
            <w:r w:rsidRPr="000D5E70">
              <w:rPr>
                <w:rFonts w:cs="Arial"/>
                <w:color w:val="000000" w:themeColor="text1"/>
                <w:szCs w:val="18"/>
              </w:rPr>
              <w:t>B</w:t>
            </w:r>
          </w:p>
        </w:tc>
        <w:tc>
          <w:tcPr>
            <w:tcW w:w="810" w:type="dxa"/>
            <w:tcBorders>
              <w:top w:val="nil"/>
              <w:left w:val="nil"/>
              <w:bottom w:val="nil"/>
              <w:right w:val="nil"/>
            </w:tcBorders>
            <w:shd w:val="clear" w:color="auto" w:fill="FFFFFF"/>
            <w:vAlign w:val="center"/>
          </w:tcPr>
          <w:p w14:paraId="3FB1219A" w14:textId="77777777" w:rsidR="00E3794D" w:rsidRDefault="00E3794D" w:rsidP="004500DF">
            <w:pPr>
              <w:pStyle w:val="CETBodytext"/>
              <w:ind w:right="-1"/>
              <w:rPr>
                <w:rFonts w:cs="Arial"/>
                <w:szCs w:val="18"/>
                <w:lang w:val="en-GB"/>
              </w:rPr>
            </w:pPr>
            <w:r w:rsidRPr="000D5E70">
              <w:rPr>
                <w:rFonts w:cs="Arial"/>
                <w:color w:val="000000" w:themeColor="text1"/>
                <w:szCs w:val="18"/>
              </w:rPr>
              <w:t>0.857</w:t>
            </w:r>
          </w:p>
        </w:tc>
        <w:tc>
          <w:tcPr>
            <w:tcW w:w="810" w:type="dxa"/>
            <w:tcBorders>
              <w:top w:val="nil"/>
              <w:left w:val="nil"/>
              <w:bottom w:val="nil"/>
              <w:right w:val="nil"/>
            </w:tcBorders>
            <w:shd w:val="clear" w:color="auto" w:fill="FFFFFF"/>
            <w:vAlign w:val="center"/>
          </w:tcPr>
          <w:p w14:paraId="0962E9D0" w14:textId="77777777" w:rsidR="00E3794D" w:rsidRDefault="00E3794D" w:rsidP="004500DF">
            <w:pPr>
              <w:pStyle w:val="CETBodytext"/>
              <w:ind w:right="-1"/>
              <w:rPr>
                <w:rFonts w:cs="Arial"/>
                <w:szCs w:val="18"/>
                <w:lang w:val="en-GB"/>
              </w:rPr>
            </w:pPr>
            <w:r w:rsidRPr="000D5E70">
              <w:rPr>
                <w:rFonts w:cs="Arial"/>
                <w:color w:val="000000" w:themeColor="text1"/>
                <w:szCs w:val="18"/>
              </w:rPr>
              <w:t>0.863</w:t>
            </w:r>
          </w:p>
        </w:tc>
        <w:tc>
          <w:tcPr>
            <w:tcW w:w="720" w:type="dxa"/>
            <w:tcBorders>
              <w:top w:val="nil"/>
              <w:left w:val="nil"/>
              <w:bottom w:val="nil"/>
              <w:right w:val="nil"/>
            </w:tcBorders>
            <w:shd w:val="clear" w:color="auto" w:fill="FFFFFF"/>
            <w:vAlign w:val="center"/>
          </w:tcPr>
          <w:p w14:paraId="32B09460" w14:textId="77777777" w:rsidR="00E3794D" w:rsidRDefault="00E3794D" w:rsidP="004500DF">
            <w:pPr>
              <w:pStyle w:val="CETBodytext"/>
              <w:ind w:right="-1"/>
              <w:rPr>
                <w:rFonts w:cs="Arial"/>
                <w:szCs w:val="18"/>
                <w:lang w:val="en-GB"/>
              </w:rPr>
            </w:pPr>
            <w:r w:rsidRPr="000D5E70">
              <w:rPr>
                <w:rFonts w:cs="Arial"/>
                <w:color w:val="000000" w:themeColor="text1"/>
                <w:szCs w:val="18"/>
              </w:rPr>
              <w:t>0.990</w:t>
            </w:r>
          </w:p>
        </w:tc>
        <w:tc>
          <w:tcPr>
            <w:tcW w:w="900" w:type="dxa"/>
            <w:tcBorders>
              <w:top w:val="nil"/>
              <w:left w:val="nil"/>
              <w:bottom w:val="nil"/>
              <w:right w:val="nil"/>
            </w:tcBorders>
            <w:shd w:val="clear" w:color="auto" w:fill="FFFFFF"/>
            <w:vAlign w:val="center"/>
          </w:tcPr>
          <w:p w14:paraId="3B38E91D" w14:textId="77777777" w:rsidR="00E3794D" w:rsidRDefault="00E3794D" w:rsidP="004500DF">
            <w:pPr>
              <w:pStyle w:val="CETBodytext"/>
              <w:ind w:right="-1"/>
              <w:rPr>
                <w:rFonts w:cs="Arial"/>
                <w:szCs w:val="18"/>
                <w:lang w:val="en-GB"/>
              </w:rPr>
            </w:pPr>
            <w:r w:rsidRPr="000D5E70">
              <w:rPr>
                <w:rFonts w:cs="Arial"/>
                <w:color w:val="000000" w:themeColor="text1"/>
                <w:szCs w:val="18"/>
              </w:rPr>
              <w:t>0.946</w:t>
            </w:r>
          </w:p>
        </w:tc>
        <w:tc>
          <w:tcPr>
            <w:tcW w:w="810" w:type="dxa"/>
            <w:tcBorders>
              <w:top w:val="nil"/>
              <w:left w:val="nil"/>
              <w:bottom w:val="nil"/>
              <w:right w:val="nil"/>
            </w:tcBorders>
            <w:shd w:val="clear" w:color="auto" w:fill="FFFFFF"/>
            <w:vAlign w:val="center"/>
          </w:tcPr>
          <w:p w14:paraId="1153C6E5" w14:textId="77777777" w:rsidR="00E3794D" w:rsidRDefault="00E3794D" w:rsidP="004500DF">
            <w:pPr>
              <w:pStyle w:val="CETBodytext"/>
              <w:ind w:right="-1"/>
              <w:rPr>
                <w:rFonts w:cs="Arial"/>
                <w:szCs w:val="18"/>
                <w:lang w:val="en-GB"/>
              </w:rPr>
            </w:pPr>
            <w:r w:rsidRPr="000D5E70">
              <w:rPr>
                <w:rFonts w:cs="Arial"/>
                <w:color w:val="000000" w:themeColor="text1"/>
                <w:szCs w:val="18"/>
              </w:rPr>
              <w:t>0.860</w:t>
            </w:r>
          </w:p>
        </w:tc>
        <w:tc>
          <w:tcPr>
            <w:tcW w:w="720" w:type="dxa"/>
            <w:tcBorders>
              <w:top w:val="nil"/>
              <w:left w:val="nil"/>
              <w:bottom w:val="nil"/>
              <w:right w:val="nil"/>
            </w:tcBorders>
            <w:shd w:val="clear" w:color="auto" w:fill="FFFFFF"/>
            <w:vAlign w:val="center"/>
          </w:tcPr>
          <w:p w14:paraId="5601EBFF" w14:textId="77777777" w:rsidR="00E3794D" w:rsidRDefault="00E3794D" w:rsidP="004500DF">
            <w:pPr>
              <w:pStyle w:val="CETBodytext"/>
              <w:ind w:right="-1"/>
              <w:rPr>
                <w:rFonts w:cs="Arial"/>
                <w:szCs w:val="18"/>
                <w:lang w:val="en-GB"/>
              </w:rPr>
            </w:pPr>
            <w:r w:rsidRPr="000D5E70">
              <w:rPr>
                <w:rFonts w:cs="Arial"/>
                <w:color w:val="000000" w:themeColor="text1"/>
                <w:szCs w:val="18"/>
              </w:rPr>
              <w:t>0.876</w:t>
            </w:r>
          </w:p>
        </w:tc>
        <w:tc>
          <w:tcPr>
            <w:tcW w:w="900" w:type="dxa"/>
            <w:tcBorders>
              <w:top w:val="nil"/>
              <w:left w:val="nil"/>
              <w:bottom w:val="nil"/>
              <w:right w:val="nil"/>
            </w:tcBorders>
            <w:shd w:val="clear" w:color="auto" w:fill="FFFFFF"/>
            <w:vAlign w:val="center"/>
          </w:tcPr>
          <w:p w14:paraId="22C7874E" w14:textId="77777777" w:rsidR="00E3794D" w:rsidRDefault="00E3794D" w:rsidP="004500DF">
            <w:pPr>
              <w:pStyle w:val="CETBodytext"/>
              <w:ind w:right="-1"/>
              <w:rPr>
                <w:rFonts w:cs="Arial"/>
                <w:szCs w:val="18"/>
                <w:lang w:val="en-GB"/>
              </w:rPr>
            </w:pPr>
            <w:r w:rsidRPr="000D5E70">
              <w:rPr>
                <w:rFonts w:cs="Arial"/>
                <w:color w:val="000000" w:themeColor="text1"/>
                <w:szCs w:val="18"/>
              </w:rPr>
              <w:t>0.928</w:t>
            </w:r>
          </w:p>
        </w:tc>
        <w:tc>
          <w:tcPr>
            <w:tcW w:w="867" w:type="dxa"/>
            <w:tcBorders>
              <w:top w:val="nil"/>
              <w:left w:val="nil"/>
              <w:bottom w:val="nil"/>
              <w:right w:val="nil"/>
            </w:tcBorders>
            <w:shd w:val="clear" w:color="auto" w:fill="FFFFFF"/>
            <w:vAlign w:val="center"/>
          </w:tcPr>
          <w:p w14:paraId="5B9E83DD" w14:textId="77777777" w:rsidR="00E3794D" w:rsidRDefault="00E3794D" w:rsidP="004500DF">
            <w:pPr>
              <w:pStyle w:val="CETBodytext"/>
              <w:ind w:right="-1"/>
              <w:rPr>
                <w:rFonts w:cs="Arial"/>
                <w:szCs w:val="18"/>
                <w:lang w:val="en-GB"/>
              </w:rPr>
            </w:pPr>
            <w:r w:rsidRPr="000D5E70">
              <w:rPr>
                <w:rFonts w:cs="Arial"/>
                <w:color w:val="000000" w:themeColor="text1"/>
                <w:szCs w:val="18"/>
              </w:rPr>
              <w:t>0.937</w:t>
            </w:r>
          </w:p>
        </w:tc>
      </w:tr>
      <w:tr w:rsidR="00E3794D" w14:paraId="00748AAD" w14:textId="77777777" w:rsidTr="004500DF">
        <w:tc>
          <w:tcPr>
            <w:tcW w:w="1170" w:type="dxa"/>
            <w:vMerge/>
            <w:tcBorders>
              <w:left w:val="nil"/>
              <w:right w:val="nil"/>
            </w:tcBorders>
            <w:shd w:val="clear" w:color="auto" w:fill="FFFFFF"/>
          </w:tcPr>
          <w:p w14:paraId="05835977" w14:textId="77777777" w:rsidR="00E3794D" w:rsidRPr="000D5E70" w:rsidRDefault="00E3794D" w:rsidP="004500DF">
            <w:pPr>
              <w:pStyle w:val="CETBodytext"/>
              <w:ind w:right="-1"/>
              <w:rPr>
                <w:rFonts w:cs="Arial"/>
                <w:color w:val="000000" w:themeColor="text1"/>
                <w:szCs w:val="18"/>
              </w:rPr>
            </w:pPr>
          </w:p>
        </w:tc>
        <w:tc>
          <w:tcPr>
            <w:tcW w:w="1170" w:type="dxa"/>
            <w:tcBorders>
              <w:top w:val="nil"/>
              <w:left w:val="nil"/>
              <w:bottom w:val="nil"/>
              <w:right w:val="nil"/>
            </w:tcBorders>
            <w:shd w:val="clear" w:color="auto" w:fill="FFFFFF"/>
            <w:vAlign w:val="bottom"/>
          </w:tcPr>
          <w:p w14:paraId="1B0BEECB" w14:textId="77777777" w:rsidR="00E3794D" w:rsidRDefault="00E3794D" w:rsidP="004500DF">
            <w:pPr>
              <w:pStyle w:val="CETBodytext"/>
              <w:ind w:right="-1"/>
              <w:rPr>
                <w:rFonts w:cs="Arial"/>
                <w:szCs w:val="18"/>
                <w:lang w:val="en-GB"/>
              </w:rPr>
            </w:pPr>
            <w:r w:rsidRPr="000D5E70">
              <w:rPr>
                <w:rFonts w:cs="Arial"/>
                <w:color w:val="000000" w:themeColor="text1"/>
                <w:szCs w:val="18"/>
              </w:rPr>
              <w:t>R</w:t>
            </w:r>
            <w:r w:rsidRPr="000D5E70">
              <w:rPr>
                <w:rFonts w:cs="Arial"/>
                <w:color w:val="000000" w:themeColor="text1"/>
                <w:szCs w:val="18"/>
                <w:vertAlign w:val="superscript"/>
              </w:rPr>
              <w:t>2</w:t>
            </w:r>
          </w:p>
        </w:tc>
        <w:tc>
          <w:tcPr>
            <w:tcW w:w="810" w:type="dxa"/>
            <w:tcBorders>
              <w:top w:val="nil"/>
              <w:left w:val="nil"/>
              <w:bottom w:val="nil"/>
              <w:right w:val="nil"/>
            </w:tcBorders>
            <w:shd w:val="clear" w:color="auto" w:fill="FFFFFF"/>
            <w:vAlign w:val="bottom"/>
          </w:tcPr>
          <w:p w14:paraId="33D49CF1" w14:textId="77777777" w:rsidR="00E3794D" w:rsidRDefault="00E3794D" w:rsidP="004500DF">
            <w:pPr>
              <w:pStyle w:val="CETBodytext"/>
              <w:ind w:right="-1"/>
              <w:rPr>
                <w:rFonts w:cs="Arial"/>
                <w:szCs w:val="18"/>
                <w:lang w:val="en-GB"/>
              </w:rPr>
            </w:pPr>
            <w:r w:rsidRPr="000D5E70">
              <w:rPr>
                <w:rFonts w:cs="Arial"/>
                <w:color w:val="000000" w:themeColor="text1"/>
                <w:szCs w:val="18"/>
              </w:rPr>
              <w:t>0.999</w:t>
            </w:r>
          </w:p>
        </w:tc>
        <w:tc>
          <w:tcPr>
            <w:tcW w:w="810" w:type="dxa"/>
            <w:tcBorders>
              <w:top w:val="nil"/>
              <w:left w:val="nil"/>
              <w:bottom w:val="nil"/>
              <w:right w:val="nil"/>
            </w:tcBorders>
            <w:shd w:val="clear" w:color="auto" w:fill="FFFFFF"/>
            <w:vAlign w:val="bottom"/>
          </w:tcPr>
          <w:p w14:paraId="7E95900E" w14:textId="77777777" w:rsidR="00E3794D" w:rsidRDefault="00E3794D" w:rsidP="004500DF">
            <w:pPr>
              <w:pStyle w:val="CETBodytext"/>
              <w:ind w:right="-1"/>
              <w:rPr>
                <w:rFonts w:cs="Arial"/>
                <w:szCs w:val="18"/>
                <w:lang w:val="en-GB"/>
              </w:rPr>
            </w:pPr>
            <w:r w:rsidRPr="000D5E70">
              <w:rPr>
                <w:rFonts w:cs="Arial"/>
                <w:color w:val="000000" w:themeColor="text1"/>
                <w:szCs w:val="18"/>
              </w:rPr>
              <w:t>0.998</w:t>
            </w:r>
          </w:p>
        </w:tc>
        <w:tc>
          <w:tcPr>
            <w:tcW w:w="720" w:type="dxa"/>
            <w:tcBorders>
              <w:top w:val="nil"/>
              <w:left w:val="nil"/>
              <w:bottom w:val="nil"/>
              <w:right w:val="nil"/>
            </w:tcBorders>
            <w:shd w:val="clear" w:color="auto" w:fill="FFFFFF"/>
            <w:vAlign w:val="bottom"/>
          </w:tcPr>
          <w:p w14:paraId="4AC4665E" w14:textId="77777777" w:rsidR="00E3794D" w:rsidRDefault="00E3794D" w:rsidP="004500DF">
            <w:pPr>
              <w:pStyle w:val="CETBodytext"/>
              <w:ind w:right="-1"/>
              <w:rPr>
                <w:rFonts w:cs="Arial"/>
                <w:szCs w:val="18"/>
                <w:lang w:val="en-GB"/>
              </w:rPr>
            </w:pPr>
            <w:r w:rsidRPr="000D5E70">
              <w:rPr>
                <w:rFonts w:cs="Arial"/>
                <w:color w:val="000000" w:themeColor="text1"/>
                <w:szCs w:val="18"/>
              </w:rPr>
              <w:t>0.998</w:t>
            </w:r>
          </w:p>
        </w:tc>
        <w:tc>
          <w:tcPr>
            <w:tcW w:w="900" w:type="dxa"/>
            <w:tcBorders>
              <w:top w:val="nil"/>
              <w:left w:val="nil"/>
              <w:bottom w:val="nil"/>
              <w:right w:val="nil"/>
            </w:tcBorders>
            <w:shd w:val="clear" w:color="auto" w:fill="FFFFFF"/>
            <w:vAlign w:val="bottom"/>
          </w:tcPr>
          <w:p w14:paraId="6B97F299" w14:textId="77777777" w:rsidR="00E3794D" w:rsidRDefault="00E3794D" w:rsidP="004500DF">
            <w:pPr>
              <w:pStyle w:val="CETBodytext"/>
              <w:ind w:right="-1"/>
              <w:rPr>
                <w:rFonts w:cs="Arial"/>
                <w:szCs w:val="18"/>
                <w:lang w:val="en-GB"/>
              </w:rPr>
            </w:pPr>
            <w:r w:rsidRPr="000D5E70">
              <w:rPr>
                <w:rFonts w:cs="Arial"/>
                <w:color w:val="000000" w:themeColor="text1"/>
                <w:szCs w:val="18"/>
              </w:rPr>
              <w:t>0.998</w:t>
            </w:r>
          </w:p>
        </w:tc>
        <w:tc>
          <w:tcPr>
            <w:tcW w:w="810" w:type="dxa"/>
            <w:tcBorders>
              <w:top w:val="nil"/>
              <w:left w:val="nil"/>
              <w:bottom w:val="nil"/>
              <w:right w:val="nil"/>
            </w:tcBorders>
            <w:shd w:val="clear" w:color="auto" w:fill="FFFFFF"/>
            <w:vAlign w:val="bottom"/>
          </w:tcPr>
          <w:p w14:paraId="3F42B83D" w14:textId="77777777" w:rsidR="00E3794D" w:rsidRDefault="00E3794D" w:rsidP="004500DF">
            <w:pPr>
              <w:pStyle w:val="CETBodytext"/>
              <w:ind w:right="-1"/>
              <w:rPr>
                <w:rFonts w:cs="Arial"/>
                <w:szCs w:val="18"/>
                <w:lang w:val="en-GB"/>
              </w:rPr>
            </w:pPr>
            <w:r w:rsidRPr="000D5E70">
              <w:rPr>
                <w:rFonts w:cs="Arial"/>
                <w:color w:val="000000" w:themeColor="text1"/>
                <w:szCs w:val="18"/>
              </w:rPr>
              <w:t>0.998</w:t>
            </w:r>
          </w:p>
        </w:tc>
        <w:tc>
          <w:tcPr>
            <w:tcW w:w="720" w:type="dxa"/>
            <w:tcBorders>
              <w:top w:val="nil"/>
              <w:left w:val="nil"/>
              <w:bottom w:val="nil"/>
              <w:right w:val="nil"/>
            </w:tcBorders>
            <w:shd w:val="clear" w:color="auto" w:fill="FFFFFF"/>
            <w:vAlign w:val="bottom"/>
          </w:tcPr>
          <w:p w14:paraId="7DA2E249" w14:textId="77777777" w:rsidR="00E3794D" w:rsidRDefault="00E3794D" w:rsidP="004500DF">
            <w:pPr>
              <w:pStyle w:val="CETBodytext"/>
              <w:ind w:right="-1"/>
              <w:rPr>
                <w:rFonts w:cs="Arial"/>
                <w:szCs w:val="18"/>
                <w:lang w:val="en-GB"/>
              </w:rPr>
            </w:pPr>
            <w:r w:rsidRPr="000D5E70">
              <w:rPr>
                <w:rFonts w:cs="Arial"/>
                <w:color w:val="000000" w:themeColor="text1"/>
                <w:szCs w:val="18"/>
              </w:rPr>
              <w:t>0.997</w:t>
            </w:r>
          </w:p>
        </w:tc>
        <w:tc>
          <w:tcPr>
            <w:tcW w:w="900" w:type="dxa"/>
            <w:tcBorders>
              <w:top w:val="nil"/>
              <w:left w:val="nil"/>
              <w:bottom w:val="nil"/>
              <w:right w:val="nil"/>
            </w:tcBorders>
            <w:shd w:val="clear" w:color="auto" w:fill="FFFFFF"/>
            <w:vAlign w:val="bottom"/>
          </w:tcPr>
          <w:p w14:paraId="6CCFFA76" w14:textId="77777777" w:rsidR="00E3794D" w:rsidRDefault="00E3794D" w:rsidP="004500DF">
            <w:pPr>
              <w:pStyle w:val="CETBodytext"/>
              <w:ind w:right="-1"/>
              <w:rPr>
                <w:rFonts w:cs="Arial"/>
                <w:szCs w:val="18"/>
                <w:lang w:val="en-GB"/>
              </w:rPr>
            </w:pPr>
            <w:r w:rsidRPr="000D5E70">
              <w:rPr>
                <w:rFonts w:cs="Arial"/>
                <w:color w:val="000000" w:themeColor="text1"/>
                <w:szCs w:val="18"/>
              </w:rPr>
              <w:t>0.999</w:t>
            </w:r>
          </w:p>
        </w:tc>
        <w:tc>
          <w:tcPr>
            <w:tcW w:w="867" w:type="dxa"/>
            <w:tcBorders>
              <w:top w:val="nil"/>
              <w:left w:val="nil"/>
              <w:bottom w:val="nil"/>
              <w:right w:val="nil"/>
            </w:tcBorders>
            <w:shd w:val="clear" w:color="auto" w:fill="FFFFFF"/>
            <w:vAlign w:val="bottom"/>
          </w:tcPr>
          <w:p w14:paraId="01C86919" w14:textId="77777777" w:rsidR="00E3794D" w:rsidRDefault="00E3794D" w:rsidP="004500DF">
            <w:pPr>
              <w:pStyle w:val="CETBodytext"/>
              <w:ind w:right="-1"/>
              <w:rPr>
                <w:rFonts w:cs="Arial"/>
                <w:szCs w:val="18"/>
                <w:lang w:val="en-GB"/>
              </w:rPr>
            </w:pPr>
            <w:r w:rsidRPr="000D5E70">
              <w:rPr>
                <w:rFonts w:cs="Arial"/>
                <w:color w:val="000000" w:themeColor="text1"/>
                <w:szCs w:val="18"/>
              </w:rPr>
              <w:t>0.998</w:t>
            </w:r>
          </w:p>
        </w:tc>
      </w:tr>
      <w:tr w:rsidR="00E3794D" w14:paraId="2DE1DCF2" w14:textId="77777777" w:rsidTr="004500DF">
        <w:tc>
          <w:tcPr>
            <w:tcW w:w="1170" w:type="dxa"/>
            <w:vMerge/>
            <w:tcBorders>
              <w:left w:val="nil"/>
              <w:bottom w:val="single" w:sz="12" w:space="0" w:color="008000"/>
              <w:right w:val="nil"/>
            </w:tcBorders>
            <w:shd w:val="clear" w:color="auto" w:fill="FFFFFF"/>
          </w:tcPr>
          <w:p w14:paraId="11F8B0DF" w14:textId="77777777" w:rsidR="00E3794D" w:rsidRPr="000D5E70" w:rsidRDefault="00E3794D" w:rsidP="004500DF">
            <w:pPr>
              <w:pStyle w:val="CETBodytext"/>
              <w:ind w:right="-1"/>
              <w:rPr>
                <w:rFonts w:cs="Arial"/>
                <w:color w:val="000000" w:themeColor="text1"/>
                <w:szCs w:val="18"/>
              </w:rPr>
            </w:pPr>
          </w:p>
        </w:tc>
        <w:tc>
          <w:tcPr>
            <w:tcW w:w="1170" w:type="dxa"/>
            <w:tcBorders>
              <w:top w:val="nil"/>
              <w:left w:val="nil"/>
              <w:bottom w:val="single" w:sz="12" w:space="0" w:color="008000"/>
              <w:right w:val="nil"/>
            </w:tcBorders>
            <w:shd w:val="clear" w:color="auto" w:fill="FFFFFF"/>
            <w:vAlign w:val="bottom"/>
          </w:tcPr>
          <w:p w14:paraId="0CA610F5" w14:textId="77777777" w:rsidR="00E3794D" w:rsidRDefault="00E3794D" w:rsidP="004500DF">
            <w:pPr>
              <w:pStyle w:val="CETBodytext"/>
              <w:ind w:right="-1"/>
              <w:rPr>
                <w:rFonts w:cs="Arial"/>
                <w:szCs w:val="18"/>
                <w:lang w:val="en-GB"/>
              </w:rPr>
            </w:pPr>
            <w:r w:rsidRPr="000D5E70">
              <w:rPr>
                <w:rFonts w:cs="Arial"/>
                <w:color w:val="000000" w:themeColor="text1"/>
                <w:szCs w:val="18"/>
              </w:rPr>
              <w:t>E (%)</w:t>
            </w:r>
          </w:p>
        </w:tc>
        <w:tc>
          <w:tcPr>
            <w:tcW w:w="810" w:type="dxa"/>
            <w:tcBorders>
              <w:top w:val="nil"/>
              <w:left w:val="nil"/>
              <w:bottom w:val="single" w:sz="12" w:space="0" w:color="008000"/>
              <w:right w:val="nil"/>
            </w:tcBorders>
            <w:shd w:val="clear" w:color="auto" w:fill="FFFFFF"/>
            <w:vAlign w:val="bottom"/>
          </w:tcPr>
          <w:p w14:paraId="59E54553" w14:textId="77777777" w:rsidR="00E3794D" w:rsidRDefault="00E3794D" w:rsidP="004500DF">
            <w:pPr>
              <w:pStyle w:val="CETBodytext"/>
              <w:ind w:right="-1"/>
              <w:rPr>
                <w:rFonts w:cs="Arial"/>
                <w:szCs w:val="18"/>
                <w:lang w:val="en-GB"/>
              </w:rPr>
            </w:pPr>
            <w:r w:rsidRPr="000D5E70">
              <w:rPr>
                <w:rFonts w:cs="Arial"/>
                <w:color w:val="000000" w:themeColor="text1"/>
                <w:szCs w:val="18"/>
              </w:rPr>
              <w:t>8.25</w:t>
            </w:r>
          </w:p>
        </w:tc>
        <w:tc>
          <w:tcPr>
            <w:tcW w:w="810" w:type="dxa"/>
            <w:tcBorders>
              <w:top w:val="nil"/>
              <w:left w:val="nil"/>
              <w:bottom w:val="single" w:sz="12" w:space="0" w:color="008000"/>
              <w:right w:val="nil"/>
            </w:tcBorders>
            <w:shd w:val="clear" w:color="auto" w:fill="FFFFFF"/>
            <w:vAlign w:val="bottom"/>
          </w:tcPr>
          <w:p w14:paraId="4BA167A3" w14:textId="77777777" w:rsidR="00E3794D" w:rsidRDefault="00E3794D" w:rsidP="004500DF">
            <w:pPr>
              <w:pStyle w:val="CETBodytext"/>
              <w:ind w:right="-1"/>
              <w:rPr>
                <w:rFonts w:cs="Arial"/>
                <w:szCs w:val="18"/>
                <w:lang w:val="en-GB"/>
              </w:rPr>
            </w:pPr>
            <w:r w:rsidRPr="000D5E70">
              <w:rPr>
                <w:rFonts w:cs="Arial"/>
                <w:color w:val="000000" w:themeColor="text1"/>
                <w:szCs w:val="18"/>
              </w:rPr>
              <w:t>7.25</w:t>
            </w:r>
          </w:p>
        </w:tc>
        <w:tc>
          <w:tcPr>
            <w:tcW w:w="720" w:type="dxa"/>
            <w:tcBorders>
              <w:top w:val="nil"/>
              <w:left w:val="nil"/>
              <w:bottom w:val="single" w:sz="12" w:space="0" w:color="008000"/>
              <w:right w:val="nil"/>
            </w:tcBorders>
            <w:shd w:val="clear" w:color="auto" w:fill="FFFFFF"/>
            <w:vAlign w:val="bottom"/>
          </w:tcPr>
          <w:p w14:paraId="0A11A625" w14:textId="77777777" w:rsidR="00E3794D" w:rsidRDefault="00E3794D" w:rsidP="004500DF">
            <w:pPr>
              <w:pStyle w:val="CETBodytext"/>
              <w:ind w:right="-1"/>
              <w:rPr>
                <w:rFonts w:cs="Arial"/>
                <w:szCs w:val="18"/>
                <w:lang w:val="en-GB"/>
              </w:rPr>
            </w:pPr>
            <w:r w:rsidRPr="000D5E70">
              <w:rPr>
                <w:rFonts w:cs="Arial"/>
                <w:color w:val="000000" w:themeColor="text1"/>
                <w:szCs w:val="18"/>
              </w:rPr>
              <w:t>9.34</w:t>
            </w:r>
          </w:p>
        </w:tc>
        <w:tc>
          <w:tcPr>
            <w:tcW w:w="900" w:type="dxa"/>
            <w:tcBorders>
              <w:top w:val="nil"/>
              <w:left w:val="nil"/>
              <w:bottom w:val="single" w:sz="12" w:space="0" w:color="008000"/>
              <w:right w:val="nil"/>
            </w:tcBorders>
            <w:shd w:val="clear" w:color="auto" w:fill="FFFFFF"/>
            <w:vAlign w:val="bottom"/>
          </w:tcPr>
          <w:p w14:paraId="621F8952" w14:textId="77777777" w:rsidR="00E3794D" w:rsidRDefault="00E3794D" w:rsidP="004500DF">
            <w:pPr>
              <w:pStyle w:val="CETBodytext"/>
              <w:ind w:right="-1"/>
              <w:rPr>
                <w:rFonts w:cs="Arial"/>
                <w:szCs w:val="18"/>
                <w:lang w:val="en-GB"/>
              </w:rPr>
            </w:pPr>
            <w:r w:rsidRPr="000D5E70">
              <w:rPr>
                <w:rFonts w:cs="Arial"/>
                <w:color w:val="000000" w:themeColor="text1"/>
                <w:szCs w:val="18"/>
              </w:rPr>
              <w:t>6.84</w:t>
            </w:r>
          </w:p>
        </w:tc>
        <w:tc>
          <w:tcPr>
            <w:tcW w:w="810" w:type="dxa"/>
            <w:tcBorders>
              <w:top w:val="nil"/>
              <w:left w:val="nil"/>
              <w:bottom w:val="single" w:sz="12" w:space="0" w:color="008000"/>
              <w:right w:val="nil"/>
            </w:tcBorders>
            <w:shd w:val="clear" w:color="auto" w:fill="FFFFFF"/>
            <w:vAlign w:val="bottom"/>
          </w:tcPr>
          <w:p w14:paraId="6EE3EB3F" w14:textId="77777777" w:rsidR="00E3794D" w:rsidRDefault="00E3794D" w:rsidP="004500DF">
            <w:pPr>
              <w:pStyle w:val="CETBodytext"/>
              <w:ind w:right="-1"/>
              <w:rPr>
                <w:rFonts w:cs="Arial"/>
                <w:szCs w:val="18"/>
                <w:lang w:val="en-GB"/>
              </w:rPr>
            </w:pPr>
            <w:r w:rsidRPr="000D5E70">
              <w:rPr>
                <w:rFonts w:cs="Arial"/>
                <w:color w:val="000000" w:themeColor="text1"/>
                <w:szCs w:val="18"/>
              </w:rPr>
              <w:t>5.95</w:t>
            </w:r>
          </w:p>
        </w:tc>
        <w:tc>
          <w:tcPr>
            <w:tcW w:w="720" w:type="dxa"/>
            <w:tcBorders>
              <w:top w:val="nil"/>
              <w:left w:val="nil"/>
              <w:bottom w:val="single" w:sz="12" w:space="0" w:color="008000"/>
              <w:right w:val="nil"/>
            </w:tcBorders>
            <w:shd w:val="clear" w:color="auto" w:fill="FFFFFF"/>
            <w:vAlign w:val="bottom"/>
          </w:tcPr>
          <w:p w14:paraId="38C4D5A2" w14:textId="77777777" w:rsidR="00E3794D" w:rsidRDefault="00E3794D" w:rsidP="004500DF">
            <w:pPr>
              <w:pStyle w:val="CETBodytext"/>
              <w:ind w:right="-1"/>
              <w:rPr>
                <w:rFonts w:cs="Arial"/>
                <w:szCs w:val="18"/>
                <w:lang w:val="en-GB"/>
              </w:rPr>
            </w:pPr>
            <w:r w:rsidRPr="000D5E70">
              <w:rPr>
                <w:rFonts w:cs="Arial"/>
                <w:color w:val="000000" w:themeColor="text1"/>
                <w:szCs w:val="18"/>
              </w:rPr>
              <w:t>3.28</w:t>
            </w:r>
          </w:p>
        </w:tc>
        <w:tc>
          <w:tcPr>
            <w:tcW w:w="900" w:type="dxa"/>
            <w:tcBorders>
              <w:top w:val="nil"/>
              <w:left w:val="nil"/>
              <w:bottom w:val="single" w:sz="12" w:space="0" w:color="008000"/>
              <w:right w:val="nil"/>
            </w:tcBorders>
            <w:shd w:val="clear" w:color="auto" w:fill="FFFFFF"/>
            <w:vAlign w:val="bottom"/>
          </w:tcPr>
          <w:p w14:paraId="72448A88" w14:textId="77777777" w:rsidR="00E3794D" w:rsidRDefault="00E3794D" w:rsidP="004500DF">
            <w:pPr>
              <w:pStyle w:val="CETBodytext"/>
              <w:ind w:right="-1"/>
              <w:rPr>
                <w:rFonts w:cs="Arial"/>
                <w:szCs w:val="18"/>
                <w:lang w:val="en-GB"/>
              </w:rPr>
            </w:pPr>
            <w:r w:rsidRPr="000D5E70">
              <w:rPr>
                <w:rFonts w:cs="Arial"/>
                <w:color w:val="000000" w:themeColor="text1"/>
                <w:szCs w:val="18"/>
              </w:rPr>
              <w:t>1.55</w:t>
            </w:r>
          </w:p>
        </w:tc>
        <w:tc>
          <w:tcPr>
            <w:tcW w:w="867" w:type="dxa"/>
            <w:tcBorders>
              <w:top w:val="nil"/>
              <w:left w:val="nil"/>
              <w:bottom w:val="single" w:sz="12" w:space="0" w:color="008000"/>
              <w:right w:val="nil"/>
            </w:tcBorders>
            <w:shd w:val="clear" w:color="auto" w:fill="FFFFFF"/>
            <w:vAlign w:val="bottom"/>
          </w:tcPr>
          <w:p w14:paraId="4A8365B6" w14:textId="77777777" w:rsidR="00E3794D" w:rsidRDefault="00E3794D" w:rsidP="004500DF">
            <w:pPr>
              <w:pStyle w:val="CETBodytext"/>
              <w:ind w:right="-1"/>
              <w:rPr>
                <w:rFonts w:cs="Arial"/>
                <w:szCs w:val="18"/>
                <w:lang w:val="en-GB"/>
              </w:rPr>
            </w:pPr>
            <w:r w:rsidRPr="000D5E70">
              <w:rPr>
                <w:rFonts w:cs="Arial"/>
                <w:color w:val="000000" w:themeColor="text1"/>
                <w:szCs w:val="18"/>
              </w:rPr>
              <w:t>4.97</w:t>
            </w:r>
          </w:p>
        </w:tc>
      </w:tr>
    </w:tbl>
    <w:p w14:paraId="4CE603FC" w14:textId="77777777" w:rsidR="00E3794D" w:rsidRDefault="00E3794D" w:rsidP="00E3794D">
      <w:pPr>
        <w:pStyle w:val="CETCaption"/>
        <w:spacing w:before="0" w:after="0"/>
        <w:rPr>
          <w:color w:val="000000" w:themeColor="text1"/>
          <w:lang w:val="en-US"/>
        </w:rPr>
      </w:pPr>
      <w:r w:rsidRPr="00DD2E69">
        <w:rPr>
          <w:rFonts w:cs="Arial"/>
          <w:iCs/>
          <w:color w:val="000000" w:themeColor="text1"/>
          <w:szCs w:val="18"/>
          <w:lang w:val="en-US" w:eastAsia="pt-BR"/>
        </w:rPr>
        <w:t>X</w:t>
      </w:r>
      <w:r w:rsidRPr="00DD2E69">
        <w:rPr>
          <w:rFonts w:cs="Arial"/>
          <w:iCs/>
          <w:color w:val="000000" w:themeColor="text1"/>
          <w:szCs w:val="18"/>
          <w:vertAlign w:val="subscript"/>
          <w:lang w:val="en-US" w:eastAsia="pt-BR"/>
        </w:rPr>
        <w:t>m</w:t>
      </w:r>
      <w:r w:rsidRPr="00DD2E69">
        <w:rPr>
          <w:rFonts w:cs="Arial"/>
          <w:iCs/>
          <w:color w:val="000000" w:themeColor="text1"/>
          <w:szCs w:val="18"/>
          <w:lang w:val="en-US" w:eastAsia="pt-BR"/>
        </w:rPr>
        <w:t xml:space="preserve"> represents the </w:t>
      </w:r>
      <w:r w:rsidRPr="00DD2E69">
        <w:rPr>
          <w:rFonts w:cs="Arial"/>
          <w:iCs/>
          <w:color w:val="000000" w:themeColor="text1"/>
          <w:szCs w:val="18"/>
          <w:lang w:val="en-US"/>
        </w:rPr>
        <w:t xml:space="preserve">moisture content in the molecular monolayer </w:t>
      </w:r>
      <w:r w:rsidRPr="00DD2E69">
        <w:rPr>
          <w:rFonts w:cs="Arial"/>
          <w:iCs/>
          <w:color w:val="000000" w:themeColor="text1"/>
          <w:szCs w:val="18"/>
          <w:lang w:val="en-US" w:eastAsia="pt-BR"/>
        </w:rPr>
        <w:t>(</w:t>
      </w:r>
      <w:r w:rsidRPr="00DD2E69">
        <w:rPr>
          <w:rFonts w:cs="Arial"/>
          <w:iCs/>
          <w:color w:val="000000" w:themeColor="text1"/>
          <w:szCs w:val="18"/>
          <w:lang w:val="en-US"/>
        </w:rPr>
        <w:t>g of water per g of dry solids</w:t>
      </w:r>
      <w:r w:rsidRPr="00DD2E69">
        <w:rPr>
          <w:rFonts w:cs="Arial"/>
          <w:iCs/>
          <w:color w:val="000000" w:themeColor="text1"/>
          <w:szCs w:val="18"/>
          <w:lang w:val="en-US" w:eastAsia="pt-BR"/>
        </w:rPr>
        <w:t>); R</w:t>
      </w:r>
      <w:r w:rsidRPr="00DD2E69">
        <w:rPr>
          <w:rFonts w:cs="Arial"/>
          <w:iCs/>
          <w:color w:val="000000" w:themeColor="text1"/>
          <w:szCs w:val="18"/>
          <w:vertAlign w:val="superscript"/>
          <w:lang w:val="en-US" w:eastAsia="pt-BR"/>
        </w:rPr>
        <w:t>2</w:t>
      </w:r>
      <w:r w:rsidRPr="00DD2E69">
        <w:rPr>
          <w:rFonts w:cs="Arial"/>
          <w:iCs/>
          <w:color w:val="000000" w:themeColor="text1"/>
          <w:szCs w:val="18"/>
          <w:lang w:val="en-US" w:eastAsia="pt-BR"/>
        </w:rPr>
        <w:t xml:space="preserve"> is the correlation coefficient; E (%) is the relative average error; C indicates the </w:t>
      </w:r>
      <w:r w:rsidRPr="00DD2E69">
        <w:rPr>
          <w:rFonts w:cs="Arial"/>
          <w:iCs/>
          <w:color w:val="000000" w:themeColor="text1"/>
          <w:szCs w:val="18"/>
          <w:lang w:val="en-US"/>
        </w:rPr>
        <w:t>molecular layer sorption constant</w:t>
      </w:r>
      <w:r w:rsidRPr="00DD2E69">
        <w:rPr>
          <w:rFonts w:cs="Arial"/>
          <w:iCs/>
          <w:color w:val="000000" w:themeColor="text1"/>
          <w:szCs w:val="18"/>
          <w:lang w:val="en-US" w:eastAsia="pt-BR"/>
        </w:rPr>
        <w:t xml:space="preserve">; N is the number of molecular layers; A, B are the </w:t>
      </w:r>
      <w:r w:rsidRPr="00DD2E69">
        <w:rPr>
          <w:rFonts w:cs="Arial"/>
          <w:iCs/>
          <w:color w:val="000000" w:themeColor="text1"/>
          <w:szCs w:val="18"/>
          <w:lang w:val="en-US"/>
        </w:rPr>
        <w:t>adjustment parameters</w:t>
      </w:r>
      <w:r w:rsidRPr="00DD2E69">
        <w:rPr>
          <w:rFonts w:cs="Arial"/>
          <w:iCs/>
          <w:color w:val="000000" w:themeColor="text1"/>
          <w:szCs w:val="18"/>
          <w:lang w:val="en-US" w:eastAsia="pt-BR"/>
        </w:rPr>
        <w:t>.</w:t>
      </w:r>
      <w:r>
        <w:rPr>
          <w:rFonts w:cs="Arial"/>
          <w:i w:val="0"/>
          <w:iCs/>
          <w:color w:val="000000" w:themeColor="text1"/>
          <w:szCs w:val="18"/>
          <w:lang w:val="en-US" w:eastAsia="pt-BR"/>
        </w:rPr>
        <w:t xml:space="preserve"> </w:t>
      </w:r>
      <w:r w:rsidRPr="000D5E70">
        <w:rPr>
          <w:rFonts w:eastAsia="Calibri"/>
          <w:color w:val="000000" w:themeColor="text1"/>
          <w:lang w:val="en-US"/>
        </w:rPr>
        <w:t>predicted by the GAB model</w:t>
      </w:r>
      <w:r w:rsidRPr="000D5E70">
        <w:rPr>
          <w:color w:val="000000" w:themeColor="text1"/>
          <w:lang w:val="en-US"/>
        </w:rPr>
        <w:t>.</w:t>
      </w:r>
    </w:p>
    <w:p w14:paraId="2F33ACBF" w14:textId="77777777" w:rsidR="00E3794D" w:rsidRDefault="00E3794D" w:rsidP="00E3794D">
      <w:pPr>
        <w:pStyle w:val="Recuodecorpodetexto"/>
        <w:spacing w:before="240" w:after="0"/>
        <w:ind w:left="0"/>
        <w:rPr>
          <w:rFonts w:cs="Arial"/>
          <w:color w:val="000000" w:themeColor="text1"/>
          <w:lang w:val="en-US"/>
        </w:rPr>
      </w:pPr>
      <w:r w:rsidRPr="00C83984">
        <w:rPr>
          <w:rFonts w:cs="Arial"/>
          <w:color w:val="000000" w:themeColor="text1"/>
          <w:lang w:val="en-US"/>
        </w:rPr>
        <w:t>The results of the hygroscopic behavior obtained by adsorption isotherms</w:t>
      </w:r>
      <w:r>
        <w:rPr>
          <w:rFonts w:cs="Arial"/>
          <w:color w:val="000000" w:themeColor="text1"/>
          <w:lang w:val="en-US"/>
        </w:rPr>
        <w:t xml:space="preserve"> (Table 3)</w:t>
      </w:r>
      <w:r w:rsidRPr="00C83984">
        <w:rPr>
          <w:rFonts w:cs="Arial"/>
          <w:color w:val="000000" w:themeColor="text1"/>
          <w:lang w:val="en-US"/>
        </w:rPr>
        <w:t xml:space="preserve"> indicated that the GAB model is suitable for adjusting the experimental data of the tamarind pulp powder obtained by freeze</w:t>
      </w:r>
      <w:r>
        <w:rPr>
          <w:rFonts w:cs="Arial"/>
          <w:color w:val="000000" w:themeColor="text1"/>
          <w:lang w:val="en-US"/>
        </w:rPr>
        <w:t>-</w:t>
      </w:r>
      <w:r w:rsidRPr="00C83984">
        <w:rPr>
          <w:rFonts w:cs="Arial"/>
          <w:color w:val="000000" w:themeColor="text1"/>
          <w:lang w:val="en-US"/>
        </w:rPr>
        <w:t>drying. To define the mathematical model fitting of the adsorption isotherms, the correlation coefficient (R</w:t>
      </w:r>
      <w:r w:rsidRPr="002F20CA">
        <w:rPr>
          <w:rFonts w:cs="Arial"/>
          <w:color w:val="000000" w:themeColor="text1"/>
          <w:vertAlign w:val="superscript"/>
          <w:lang w:val="en-US"/>
        </w:rPr>
        <w:t>2</w:t>
      </w:r>
      <w:r w:rsidRPr="00C83984">
        <w:rPr>
          <w:rFonts w:cs="Arial"/>
          <w:color w:val="000000" w:themeColor="text1"/>
          <w:lang w:val="en-US"/>
        </w:rPr>
        <w:t xml:space="preserve">) represents the relationship between the observed responses and the values predicted by the adjusted model. The relative </w:t>
      </w:r>
      <w:r w:rsidRPr="00C83984">
        <w:rPr>
          <w:rFonts w:cs="Arial"/>
          <w:color w:val="000000" w:themeColor="text1"/>
          <w:lang w:val="en-US"/>
        </w:rPr>
        <w:lastRenderedPageBreak/>
        <w:t>average error, E (%) is defined as the relative difference between experimental and predicted values (%) (Pedro et al., 2010). According to Labuza et al., (1985), E (%) value below 10</w:t>
      </w:r>
      <w:r>
        <w:rPr>
          <w:rFonts w:cs="Arial"/>
          <w:color w:val="000000" w:themeColor="text1"/>
          <w:lang w:val="en-US"/>
        </w:rPr>
        <w:t xml:space="preserve"> </w:t>
      </w:r>
      <w:r w:rsidRPr="00C83984">
        <w:rPr>
          <w:rFonts w:cs="Arial"/>
          <w:color w:val="000000" w:themeColor="text1"/>
          <w:lang w:val="en-US"/>
        </w:rPr>
        <w:t>% indicates a reasonable adjustment, and up to 5</w:t>
      </w:r>
      <w:r>
        <w:rPr>
          <w:rFonts w:cs="Arial"/>
          <w:color w:val="000000" w:themeColor="text1"/>
          <w:lang w:val="en-US"/>
        </w:rPr>
        <w:t xml:space="preserve"> </w:t>
      </w:r>
      <w:r w:rsidRPr="00C83984">
        <w:rPr>
          <w:rFonts w:cs="Arial"/>
          <w:color w:val="000000" w:themeColor="text1"/>
          <w:lang w:val="en-US"/>
        </w:rPr>
        <w:t xml:space="preserve">% is considered for </w:t>
      </w:r>
      <w:r>
        <w:rPr>
          <w:rFonts w:cs="Arial"/>
          <w:color w:val="000000" w:themeColor="text1"/>
          <w:lang w:val="en-US"/>
        </w:rPr>
        <w:t xml:space="preserve">isotherms </w:t>
      </w:r>
      <w:r w:rsidRPr="00C83984">
        <w:rPr>
          <w:rFonts w:cs="Arial"/>
          <w:color w:val="000000" w:themeColor="text1"/>
          <w:lang w:val="en-US"/>
        </w:rPr>
        <w:t>representation.</w:t>
      </w:r>
    </w:p>
    <w:p w14:paraId="6C76D8D3" w14:textId="77777777" w:rsidR="00E3794D" w:rsidRDefault="00E3794D" w:rsidP="00E3794D">
      <w:pPr>
        <w:pStyle w:val="PargrafodaLista"/>
        <w:tabs>
          <w:tab w:val="left" w:pos="284"/>
        </w:tabs>
        <w:spacing w:line="240" w:lineRule="auto"/>
        <w:ind w:left="0" w:right="-125"/>
        <w:contextualSpacing w:val="0"/>
        <w:rPr>
          <w:rFonts w:cs="Arial"/>
          <w:color w:val="000000" w:themeColor="text1"/>
          <w:lang w:val="en-US"/>
        </w:rPr>
      </w:pPr>
      <w:r w:rsidRPr="00C83984">
        <w:rPr>
          <w:rFonts w:cs="Arial"/>
          <w:color w:val="000000" w:themeColor="text1"/>
          <w:lang w:val="en-US"/>
        </w:rPr>
        <w:t>Thus, for greater data accuracy, the best model selected (GAB) considered the highest indices of the correlation coefficient (R</w:t>
      </w:r>
      <w:r w:rsidRPr="002F20CA">
        <w:rPr>
          <w:rFonts w:cs="Arial"/>
          <w:color w:val="000000" w:themeColor="text1"/>
          <w:vertAlign w:val="superscript"/>
          <w:lang w:val="en-US"/>
        </w:rPr>
        <w:t>2</w:t>
      </w:r>
      <w:r w:rsidRPr="00C83984">
        <w:rPr>
          <w:rFonts w:cs="Arial"/>
          <w:color w:val="000000" w:themeColor="text1"/>
          <w:lang w:val="en-US"/>
        </w:rPr>
        <w:t>) and the lowest relative average errors, E (%)</w:t>
      </w:r>
      <w:r>
        <w:rPr>
          <w:rFonts w:cs="Arial"/>
          <w:color w:val="000000" w:themeColor="text1"/>
          <w:lang w:val="en-US"/>
        </w:rPr>
        <w:t xml:space="preserve"> showed in the Table 3</w:t>
      </w:r>
      <w:r w:rsidRPr="00C83984">
        <w:rPr>
          <w:rFonts w:cs="Arial"/>
          <w:color w:val="000000" w:themeColor="text1"/>
          <w:lang w:val="en-US"/>
        </w:rPr>
        <w:t>. All parameters adjusted by the models applied in the adsorption isotherms of tamarind pulp powder, including the values of the correlation coefficient (R</w:t>
      </w:r>
      <w:r w:rsidRPr="002F20CA">
        <w:rPr>
          <w:rFonts w:cs="Arial"/>
          <w:color w:val="000000" w:themeColor="text1"/>
          <w:vertAlign w:val="superscript"/>
          <w:lang w:val="en-US"/>
        </w:rPr>
        <w:t>2</w:t>
      </w:r>
      <w:r w:rsidRPr="00C83984">
        <w:rPr>
          <w:rFonts w:cs="Arial"/>
          <w:color w:val="000000" w:themeColor="text1"/>
          <w:lang w:val="en-US"/>
        </w:rPr>
        <w:t xml:space="preserve">) and relative average errors E (%), are shown in Table </w:t>
      </w:r>
      <w:r>
        <w:rPr>
          <w:rFonts w:cs="Arial"/>
          <w:color w:val="000000" w:themeColor="text1"/>
          <w:lang w:val="en-US"/>
        </w:rPr>
        <w:t>3</w:t>
      </w:r>
      <w:r w:rsidRPr="00C83984">
        <w:rPr>
          <w:rFonts w:cs="Arial"/>
          <w:color w:val="000000" w:themeColor="text1"/>
          <w:lang w:val="en-US"/>
        </w:rPr>
        <w:t>.</w:t>
      </w:r>
    </w:p>
    <w:p w14:paraId="266914C2" w14:textId="77777777" w:rsidR="00E3794D" w:rsidRPr="00A60FA6" w:rsidRDefault="00E3794D" w:rsidP="00E3794D">
      <w:pPr>
        <w:pStyle w:val="PargrafodaLista"/>
        <w:tabs>
          <w:tab w:val="left" w:pos="284"/>
        </w:tabs>
        <w:spacing w:line="240" w:lineRule="auto"/>
        <w:ind w:left="0" w:right="-123"/>
        <w:contextualSpacing w:val="0"/>
        <w:rPr>
          <w:rFonts w:cs="Arial"/>
          <w:i/>
          <w:iCs/>
          <w:color w:val="000000" w:themeColor="text1"/>
          <w:szCs w:val="18"/>
          <w:lang w:val="en-US" w:eastAsia="pt-BR"/>
        </w:rPr>
      </w:pPr>
      <w:r w:rsidRPr="00C83984">
        <w:rPr>
          <w:rFonts w:cs="Arial"/>
          <w:color w:val="000000" w:themeColor="text1"/>
          <w:lang w:val="en-US"/>
        </w:rPr>
        <w:t xml:space="preserve">From observation of the isotherm data presented in Table </w:t>
      </w:r>
      <w:r>
        <w:rPr>
          <w:rFonts w:cs="Arial"/>
          <w:color w:val="000000" w:themeColor="text1"/>
          <w:lang w:val="en-US"/>
        </w:rPr>
        <w:t>3</w:t>
      </w:r>
      <w:r w:rsidRPr="00C83984">
        <w:rPr>
          <w:rFonts w:cs="Arial"/>
          <w:color w:val="000000" w:themeColor="text1"/>
          <w:lang w:val="en-US"/>
        </w:rPr>
        <w:t xml:space="preserve">, the </w:t>
      </w:r>
      <w:r>
        <w:rPr>
          <w:rFonts w:cs="Arial"/>
          <w:color w:val="000000" w:themeColor="text1"/>
          <w:lang w:val="en-US"/>
        </w:rPr>
        <w:t>R</w:t>
      </w:r>
      <w:r w:rsidRPr="002F20CA">
        <w:rPr>
          <w:rFonts w:cs="Arial"/>
          <w:color w:val="000000" w:themeColor="text1"/>
          <w:vertAlign w:val="superscript"/>
          <w:lang w:val="en-US"/>
        </w:rPr>
        <w:t>2</w:t>
      </w:r>
      <w:r>
        <w:rPr>
          <w:rFonts w:cs="Arial"/>
          <w:color w:val="000000" w:themeColor="text1"/>
          <w:lang w:val="en-US"/>
        </w:rPr>
        <w:t xml:space="preserve"> </w:t>
      </w:r>
      <w:r w:rsidRPr="00C83984">
        <w:rPr>
          <w:rFonts w:cs="Arial"/>
          <w:color w:val="000000" w:themeColor="text1"/>
          <w:lang w:val="en-US"/>
        </w:rPr>
        <w:t xml:space="preserve">values </w:t>
      </w:r>
      <w:r>
        <w:rPr>
          <w:rFonts w:cs="Arial"/>
          <w:color w:val="000000" w:themeColor="text1"/>
          <w:lang w:val="en-US"/>
        </w:rPr>
        <w:t>were greater than 0.91 i</w:t>
      </w:r>
      <w:r w:rsidRPr="00C83984">
        <w:rPr>
          <w:rFonts w:cs="Arial"/>
          <w:color w:val="000000" w:themeColor="text1"/>
          <w:lang w:val="en-US"/>
        </w:rPr>
        <w:t>n all mathematical models</w:t>
      </w:r>
      <w:r>
        <w:rPr>
          <w:rFonts w:cs="Arial"/>
          <w:color w:val="000000" w:themeColor="text1"/>
          <w:lang w:val="en-US"/>
        </w:rPr>
        <w:t xml:space="preserve"> and the </w:t>
      </w:r>
      <w:r w:rsidRPr="00C83984">
        <w:rPr>
          <w:rFonts w:cs="Arial"/>
          <w:color w:val="000000" w:themeColor="text1"/>
          <w:lang w:val="en-US"/>
        </w:rPr>
        <w:t>relative average error (E)</w:t>
      </w:r>
      <w:r>
        <w:rPr>
          <w:rFonts w:cs="Arial"/>
          <w:color w:val="000000" w:themeColor="text1"/>
          <w:lang w:val="en-US"/>
        </w:rPr>
        <w:t xml:space="preserve"> exceeded 10 % for </w:t>
      </w:r>
      <w:r w:rsidRPr="00C83984">
        <w:rPr>
          <w:rFonts w:cs="Arial"/>
          <w:color w:val="000000" w:themeColor="text1"/>
          <w:lang w:val="en-US"/>
        </w:rPr>
        <w:t>BET and Henderson models</w:t>
      </w:r>
      <w:r>
        <w:rPr>
          <w:rFonts w:cs="Arial"/>
          <w:color w:val="000000" w:themeColor="text1"/>
          <w:lang w:val="en-US"/>
        </w:rPr>
        <w:t xml:space="preserve">, while </w:t>
      </w:r>
      <w:r w:rsidRPr="00C83984">
        <w:rPr>
          <w:rFonts w:cs="Arial"/>
          <w:color w:val="000000" w:themeColor="text1"/>
          <w:lang w:val="en-US"/>
        </w:rPr>
        <w:t>GAB and Oswin models</w:t>
      </w:r>
      <w:r>
        <w:rPr>
          <w:rFonts w:cs="Arial"/>
          <w:color w:val="000000" w:themeColor="text1"/>
          <w:lang w:val="en-US"/>
        </w:rPr>
        <w:t xml:space="preserve"> presented </w:t>
      </w:r>
      <w:r w:rsidRPr="00C83984">
        <w:rPr>
          <w:rFonts w:cs="Arial"/>
          <w:color w:val="000000" w:themeColor="text1"/>
          <w:lang w:val="en-US"/>
        </w:rPr>
        <w:t>the lowest values</w:t>
      </w:r>
      <w:r>
        <w:rPr>
          <w:rFonts w:cs="Arial"/>
          <w:color w:val="000000" w:themeColor="text1"/>
          <w:lang w:val="en-US"/>
        </w:rPr>
        <w:t xml:space="preserve"> (average error lower than 10 %)</w:t>
      </w:r>
      <w:r w:rsidRPr="00C83984">
        <w:rPr>
          <w:rFonts w:cs="Arial"/>
          <w:color w:val="000000" w:themeColor="text1"/>
          <w:lang w:val="en-US"/>
        </w:rPr>
        <w:t>.</w:t>
      </w:r>
    </w:p>
    <w:p w14:paraId="284E24EE" w14:textId="77777777" w:rsidR="00E3794D" w:rsidRDefault="00E3794D" w:rsidP="00E3794D">
      <w:pPr>
        <w:pStyle w:val="Recuodecorpodetexto"/>
        <w:spacing w:after="0"/>
        <w:ind w:left="0"/>
        <w:rPr>
          <w:rFonts w:cs="Arial"/>
          <w:color w:val="000000" w:themeColor="text1"/>
          <w:lang w:val="en-US"/>
        </w:rPr>
      </w:pPr>
      <w:r w:rsidRPr="00C83984">
        <w:rPr>
          <w:rFonts w:cs="Arial"/>
          <w:color w:val="000000" w:themeColor="text1"/>
          <w:lang w:val="en-US"/>
        </w:rPr>
        <w:t xml:space="preserve">Therefore, considering the </w:t>
      </w:r>
      <w:r>
        <w:rPr>
          <w:rFonts w:cs="Arial"/>
          <w:color w:val="000000" w:themeColor="text1"/>
          <w:lang w:val="en-US"/>
        </w:rPr>
        <w:t xml:space="preserve">E </w:t>
      </w:r>
      <w:r w:rsidRPr="00C83984">
        <w:rPr>
          <w:rFonts w:cs="Arial"/>
          <w:color w:val="000000" w:themeColor="text1"/>
          <w:lang w:val="en-US"/>
        </w:rPr>
        <w:t xml:space="preserve">values, the GAB </w:t>
      </w:r>
      <w:r>
        <w:rPr>
          <w:rFonts w:cs="Arial"/>
          <w:color w:val="000000" w:themeColor="text1"/>
          <w:lang w:val="en-US"/>
        </w:rPr>
        <w:t xml:space="preserve">model is best suited to </w:t>
      </w:r>
      <w:r w:rsidRPr="00C83984">
        <w:rPr>
          <w:rFonts w:cs="Arial"/>
          <w:color w:val="000000" w:themeColor="text1"/>
          <w:lang w:val="en-US"/>
        </w:rPr>
        <w:t>describe the adsorption isotherms of the tamarind pulp powder at temperatures of 25</w:t>
      </w:r>
      <w:r>
        <w:rPr>
          <w:rFonts w:cs="Arial"/>
          <w:color w:val="000000" w:themeColor="text1"/>
          <w:lang w:val="en-US"/>
        </w:rPr>
        <w:t xml:space="preserve"> </w:t>
      </w:r>
      <w:r w:rsidRPr="00C83984">
        <w:rPr>
          <w:rFonts w:cs="Arial"/>
          <w:color w:val="000000" w:themeColor="text1"/>
          <w:lang w:val="en-US"/>
        </w:rPr>
        <w:t>°C and 40</w:t>
      </w:r>
      <w:r>
        <w:rPr>
          <w:rFonts w:cs="Arial"/>
          <w:color w:val="000000" w:themeColor="text1"/>
          <w:lang w:val="en-US"/>
        </w:rPr>
        <w:t xml:space="preserve"> </w:t>
      </w:r>
      <w:r w:rsidRPr="00C83984">
        <w:rPr>
          <w:rFonts w:cs="Arial"/>
          <w:color w:val="000000" w:themeColor="text1"/>
          <w:lang w:val="en-US"/>
        </w:rPr>
        <w:t>°C for all treatments evaluated</w:t>
      </w:r>
      <w:r>
        <w:rPr>
          <w:rFonts w:cs="Arial"/>
          <w:color w:val="000000" w:themeColor="text1"/>
          <w:lang w:val="en-US"/>
        </w:rPr>
        <w:t xml:space="preserve"> (Table 3)</w:t>
      </w:r>
      <w:r w:rsidRPr="00C83984">
        <w:rPr>
          <w:rFonts w:cs="Arial"/>
          <w:color w:val="000000" w:themeColor="text1"/>
          <w:lang w:val="en-US"/>
        </w:rPr>
        <w:t>.</w:t>
      </w:r>
      <w:r>
        <w:rPr>
          <w:rFonts w:cs="Arial"/>
          <w:color w:val="000000" w:themeColor="text1"/>
          <w:lang w:val="en-US"/>
        </w:rPr>
        <w:t xml:space="preserve"> </w:t>
      </w:r>
      <w:r w:rsidRPr="00C83984">
        <w:rPr>
          <w:rFonts w:cs="Arial"/>
          <w:color w:val="000000" w:themeColor="text1"/>
          <w:lang w:val="en-US"/>
        </w:rPr>
        <w:t>Muzaffar and Kumar (2016) also indicated the GAB model for the study of the adsorption isotherm of tamarind pulp obtained by spray drying.</w:t>
      </w:r>
    </w:p>
    <w:p w14:paraId="58EB78C1" w14:textId="77777777" w:rsidR="00E3794D" w:rsidRDefault="00E3794D" w:rsidP="00E3794D">
      <w:pPr>
        <w:pStyle w:val="Recuodecorpodetexto"/>
        <w:spacing w:after="0"/>
        <w:ind w:left="0"/>
        <w:rPr>
          <w:rFonts w:cs="Arial"/>
          <w:color w:val="000000" w:themeColor="text1"/>
          <w:lang w:val="en-US"/>
        </w:rPr>
      </w:pPr>
      <w:r w:rsidRPr="00C83984">
        <w:rPr>
          <w:rFonts w:cs="Arial"/>
          <w:color w:val="000000" w:themeColor="text1"/>
          <w:lang w:val="en-US"/>
        </w:rPr>
        <w:t>The monolayer equilibrium moisture value (Xm) indicates the amount of water that is strongly adsorbed at specific locations on the food surface and is directly associated with product stability (Muzaffar and Kumar, 2016).</w:t>
      </w:r>
      <w:r>
        <w:rPr>
          <w:rFonts w:cs="Arial"/>
          <w:color w:val="000000" w:themeColor="text1"/>
          <w:lang w:val="en-US"/>
        </w:rPr>
        <w:t xml:space="preserve"> </w:t>
      </w:r>
      <w:r w:rsidRPr="00C83984">
        <w:rPr>
          <w:rFonts w:cs="Arial"/>
          <w:color w:val="000000" w:themeColor="text1"/>
          <w:lang w:val="en-US"/>
        </w:rPr>
        <w:t>The Xm values exhibited an increasing trend in the control tamarind pulp powder with and without the addition of anti-caking agent at temperatures of 25</w:t>
      </w:r>
      <w:r>
        <w:rPr>
          <w:rFonts w:cs="Arial"/>
          <w:color w:val="000000" w:themeColor="text1"/>
          <w:lang w:val="en-US"/>
        </w:rPr>
        <w:t xml:space="preserve"> </w:t>
      </w:r>
      <w:r w:rsidRPr="00C83984">
        <w:rPr>
          <w:rFonts w:cs="Arial"/>
          <w:color w:val="000000" w:themeColor="text1"/>
          <w:lang w:val="en-US"/>
        </w:rPr>
        <w:t>°C and 40</w:t>
      </w:r>
      <w:r>
        <w:rPr>
          <w:rFonts w:cs="Arial"/>
          <w:color w:val="000000" w:themeColor="text1"/>
          <w:lang w:val="en-US"/>
        </w:rPr>
        <w:t xml:space="preserve"> </w:t>
      </w:r>
      <w:r w:rsidRPr="00C83984">
        <w:rPr>
          <w:rFonts w:cs="Arial"/>
          <w:color w:val="000000" w:themeColor="text1"/>
          <w:lang w:val="en-US"/>
        </w:rPr>
        <w:t>°C. Meanwhile, the neutralized powder (with and without anti-caking additive), presented lower values of moisture in the monolayer, with a tendency to remain stable at both temperatures (25</w:t>
      </w:r>
      <w:r>
        <w:rPr>
          <w:rFonts w:cs="Arial"/>
          <w:color w:val="000000" w:themeColor="text1"/>
          <w:lang w:val="en-US"/>
        </w:rPr>
        <w:t xml:space="preserve"> </w:t>
      </w:r>
      <w:r w:rsidRPr="00C83984">
        <w:rPr>
          <w:rFonts w:cs="Arial"/>
          <w:color w:val="000000" w:themeColor="text1"/>
          <w:lang w:val="en-US"/>
        </w:rPr>
        <w:t>°C and 40</w:t>
      </w:r>
      <w:r>
        <w:rPr>
          <w:rFonts w:cs="Arial"/>
          <w:color w:val="000000" w:themeColor="text1"/>
          <w:lang w:val="en-US"/>
        </w:rPr>
        <w:t xml:space="preserve"> </w:t>
      </w:r>
      <w:r w:rsidRPr="00C83984">
        <w:rPr>
          <w:rFonts w:cs="Arial"/>
          <w:color w:val="000000" w:themeColor="text1"/>
          <w:lang w:val="en-US"/>
        </w:rPr>
        <w:t xml:space="preserve">°C). This behavior can be observed from the moisture monolayer data (Xm) presented in Table </w:t>
      </w:r>
      <w:r>
        <w:rPr>
          <w:rFonts w:cs="Arial"/>
          <w:color w:val="000000" w:themeColor="text1"/>
          <w:lang w:val="en-US"/>
        </w:rPr>
        <w:t>3</w:t>
      </w:r>
      <w:r w:rsidRPr="00C83984">
        <w:rPr>
          <w:rFonts w:cs="Arial"/>
          <w:color w:val="000000" w:themeColor="text1"/>
          <w:lang w:val="en-US"/>
        </w:rPr>
        <w:t>.</w:t>
      </w:r>
    </w:p>
    <w:p w14:paraId="5C846A17" w14:textId="77777777" w:rsidR="00E3794D" w:rsidRDefault="00E3794D" w:rsidP="00E3794D">
      <w:pPr>
        <w:pStyle w:val="Recuodecorpodetexto"/>
        <w:spacing w:after="0"/>
        <w:ind w:left="0"/>
        <w:rPr>
          <w:rFonts w:cs="Arial"/>
          <w:color w:val="000000" w:themeColor="text1"/>
          <w:lang w:val="en-US"/>
        </w:rPr>
      </w:pPr>
      <w:r w:rsidRPr="00C83984">
        <w:rPr>
          <w:rFonts w:cs="Arial"/>
          <w:color w:val="000000" w:themeColor="text1"/>
          <w:lang w:val="en-US"/>
        </w:rPr>
        <w:t>Figure 1 shows the adsorption curves of tamarind pulp powder obtained by the GAB model for each treatment at temperatures of 25</w:t>
      </w:r>
      <w:r>
        <w:rPr>
          <w:rFonts w:cs="Arial"/>
          <w:color w:val="000000" w:themeColor="text1"/>
          <w:lang w:val="en-US"/>
        </w:rPr>
        <w:t xml:space="preserve"> </w:t>
      </w:r>
      <w:r w:rsidRPr="00C83984">
        <w:rPr>
          <w:rFonts w:cs="Arial"/>
          <w:color w:val="000000" w:themeColor="text1"/>
          <w:lang w:val="en-US"/>
        </w:rPr>
        <w:t>°C and 40</w:t>
      </w:r>
      <w:r>
        <w:rPr>
          <w:rFonts w:cs="Arial"/>
          <w:color w:val="000000" w:themeColor="text1"/>
          <w:lang w:val="en-US"/>
        </w:rPr>
        <w:t xml:space="preserve"> </w:t>
      </w:r>
      <w:r w:rsidRPr="00C83984">
        <w:rPr>
          <w:rFonts w:cs="Arial"/>
          <w:color w:val="000000" w:themeColor="text1"/>
          <w:lang w:val="en-US"/>
        </w:rPr>
        <w:t>°C.</w:t>
      </w:r>
      <w:r>
        <w:rPr>
          <w:rFonts w:cs="Arial"/>
          <w:color w:val="000000" w:themeColor="text1"/>
          <w:lang w:val="en-US"/>
        </w:rPr>
        <w:t xml:space="preserve"> </w:t>
      </w:r>
      <w:r w:rsidRPr="00C83984">
        <w:rPr>
          <w:rFonts w:cs="Arial"/>
          <w:color w:val="000000" w:themeColor="text1"/>
          <w:lang w:val="en-US"/>
        </w:rPr>
        <w:t xml:space="preserve">It </w:t>
      </w:r>
      <w:r>
        <w:rPr>
          <w:rFonts w:cs="Arial"/>
          <w:color w:val="000000" w:themeColor="text1"/>
          <w:lang w:val="en-US"/>
        </w:rPr>
        <w:t xml:space="preserve">shows </w:t>
      </w:r>
      <w:r w:rsidRPr="00C83984">
        <w:rPr>
          <w:rFonts w:cs="Arial"/>
          <w:color w:val="000000" w:themeColor="text1"/>
          <w:lang w:val="en-US"/>
        </w:rPr>
        <w:t xml:space="preserve">that </w:t>
      </w:r>
      <w:r>
        <w:rPr>
          <w:rFonts w:cs="Arial"/>
          <w:color w:val="000000" w:themeColor="text1"/>
          <w:lang w:val="en-US"/>
        </w:rPr>
        <w:t>for a 0.6 value of water activity (a</w:t>
      </w:r>
      <w:r w:rsidRPr="004165B6">
        <w:rPr>
          <w:rFonts w:cs="Arial"/>
          <w:color w:val="000000" w:themeColor="text1"/>
          <w:vertAlign w:val="subscript"/>
          <w:lang w:val="en-US"/>
        </w:rPr>
        <w:t>w</w:t>
      </w:r>
      <w:r>
        <w:rPr>
          <w:rFonts w:cs="Arial"/>
          <w:color w:val="000000" w:themeColor="text1"/>
          <w:lang w:val="en-US"/>
        </w:rPr>
        <w:t>)</w:t>
      </w:r>
      <w:r w:rsidRPr="00C83984">
        <w:rPr>
          <w:rFonts w:cs="Arial"/>
          <w:color w:val="000000" w:themeColor="text1"/>
          <w:lang w:val="en-US"/>
        </w:rPr>
        <w:t xml:space="preserve">, the control powder </w:t>
      </w:r>
      <w:r>
        <w:rPr>
          <w:rFonts w:cs="Arial"/>
          <w:color w:val="000000" w:themeColor="text1"/>
          <w:lang w:val="en-US"/>
        </w:rPr>
        <w:t xml:space="preserve">presents </w:t>
      </w:r>
      <w:r w:rsidRPr="00C83984">
        <w:rPr>
          <w:rFonts w:cs="Arial"/>
          <w:color w:val="000000" w:themeColor="text1"/>
          <w:lang w:val="en-US"/>
        </w:rPr>
        <w:t>an equilibrium moisture of 0.2 g g</w:t>
      </w:r>
      <w:r w:rsidRPr="00784CBA">
        <w:rPr>
          <w:rFonts w:cs="Arial"/>
          <w:color w:val="000000" w:themeColor="text1"/>
          <w:vertAlign w:val="superscript"/>
          <w:lang w:val="en-US"/>
        </w:rPr>
        <w:t>-1</w:t>
      </w:r>
      <w:r w:rsidRPr="00C83984">
        <w:rPr>
          <w:rFonts w:cs="Arial"/>
          <w:color w:val="000000" w:themeColor="text1"/>
          <w:lang w:val="en-US"/>
        </w:rPr>
        <w:t>. In the neutralized powder, at the same a</w:t>
      </w:r>
      <w:r w:rsidRPr="004165B6">
        <w:rPr>
          <w:rFonts w:cs="Arial"/>
          <w:color w:val="000000" w:themeColor="text1"/>
          <w:vertAlign w:val="subscript"/>
          <w:lang w:val="en-US"/>
        </w:rPr>
        <w:t>w</w:t>
      </w:r>
      <w:r w:rsidRPr="00C83984">
        <w:rPr>
          <w:rFonts w:cs="Arial"/>
          <w:color w:val="000000" w:themeColor="text1"/>
          <w:lang w:val="en-US"/>
        </w:rPr>
        <w:t xml:space="preserve"> (0.6), the moisture was &lt; 0.2 g g</w:t>
      </w:r>
      <w:r w:rsidRPr="00784CBA">
        <w:rPr>
          <w:rFonts w:cs="Arial"/>
          <w:color w:val="000000" w:themeColor="text1"/>
          <w:vertAlign w:val="superscript"/>
          <w:lang w:val="en-US"/>
        </w:rPr>
        <w:t>-1</w:t>
      </w:r>
      <w:r w:rsidRPr="00C83984">
        <w:rPr>
          <w:rFonts w:cs="Arial"/>
          <w:color w:val="000000" w:themeColor="text1"/>
          <w:lang w:val="en-US"/>
        </w:rPr>
        <w:t xml:space="preserve"> at both temperatures evaluated (25</w:t>
      </w:r>
      <w:r>
        <w:rPr>
          <w:rFonts w:cs="Arial"/>
          <w:color w:val="000000" w:themeColor="text1"/>
          <w:lang w:val="en-US"/>
        </w:rPr>
        <w:t xml:space="preserve"> </w:t>
      </w:r>
      <w:r w:rsidRPr="00C83984">
        <w:rPr>
          <w:rFonts w:cs="Arial"/>
          <w:color w:val="000000" w:themeColor="text1"/>
          <w:lang w:val="en-US"/>
        </w:rPr>
        <w:t>°C and 40</w:t>
      </w:r>
      <w:r>
        <w:rPr>
          <w:rFonts w:cs="Arial"/>
          <w:color w:val="000000" w:themeColor="text1"/>
          <w:lang w:val="en-US"/>
        </w:rPr>
        <w:t xml:space="preserve"> </w:t>
      </w:r>
      <w:r w:rsidRPr="00C83984">
        <w:rPr>
          <w:rFonts w:cs="Arial"/>
          <w:color w:val="000000" w:themeColor="text1"/>
          <w:lang w:val="en-US"/>
        </w:rPr>
        <w:t xml:space="preserve">°C). This behavior may suggest that </w:t>
      </w:r>
      <w:r>
        <w:rPr>
          <w:rFonts w:cs="Arial"/>
          <w:color w:val="000000" w:themeColor="text1"/>
          <w:lang w:val="en-US"/>
        </w:rPr>
        <w:t xml:space="preserve">the </w:t>
      </w:r>
      <w:r w:rsidRPr="00C83984">
        <w:rPr>
          <w:rFonts w:cs="Arial"/>
          <w:color w:val="000000" w:themeColor="text1"/>
          <w:lang w:val="en-US"/>
        </w:rPr>
        <w:t>pulp acidity reduction results in more stable powder during storage.</w:t>
      </w:r>
    </w:p>
    <w:p w14:paraId="5EE6D65C" w14:textId="77777777" w:rsidR="00E3794D" w:rsidRDefault="00E3794D" w:rsidP="00E3794D">
      <w:pPr>
        <w:pStyle w:val="Recuodecorpodetexto"/>
        <w:spacing w:after="0"/>
        <w:ind w:left="0"/>
        <w:rPr>
          <w:rFonts w:cs="Arial"/>
          <w:color w:val="000000" w:themeColor="text1"/>
          <w:lang w:val="en-US"/>
        </w:rPr>
      </w:pPr>
    </w:p>
    <w:p w14:paraId="58BA77BD" w14:textId="77777777" w:rsidR="00E3794D" w:rsidRDefault="00E3794D" w:rsidP="00E3794D">
      <w:pPr>
        <w:pStyle w:val="CETBodytext"/>
        <w:jc w:val="left"/>
        <w:rPr>
          <w:lang w:val="en-GB"/>
        </w:rPr>
      </w:pPr>
      <w:r>
        <w:rPr>
          <w:noProof/>
          <w:lang w:val="pt-BR" w:eastAsia="pt-BR"/>
        </w:rPr>
        <w:drawing>
          <wp:inline distT="0" distB="0" distL="0" distR="0" wp14:anchorId="6D2D2620" wp14:editId="781C79D4">
            <wp:extent cx="5579745" cy="2151380"/>
            <wp:effectExtent l="0" t="0" r="1905" b="127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 - GAB model - 1.jpg"/>
                    <pic:cNvPicPr/>
                  </pic:nvPicPr>
                  <pic:blipFill>
                    <a:blip r:embed="rId19">
                      <a:extLst>
                        <a:ext uri="{28A0092B-C50C-407E-A947-70E740481C1C}">
                          <a14:useLocalDpi xmlns:a14="http://schemas.microsoft.com/office/drawing/2010/main" val="0"/>
                        </a:ext>
                      </a:extLst>
                    </a:blip>
                    <a:stretch>
                      <a:fillRect/>
                    </a:stretch>
                  </pic:blipFill>
                  <pic:spPr>
                    <a:xfrm>
                      <a:off x="0" y="0"/>
                      <a:ext cx="5579745" cy="2151380"/>
                    </a:xfrm>
                    <a:prstGeom prst="rect">
                      <a:avLst/>
                    </a:prstGeom>
                  </pic:spPr>
                </pic:pic>
              </a:graphicData>
            </a:graphic>
          </wp:inline>
        </w:drawing>
      </w:r>
    </w:p>
    <w:p w14:paraId="04907238" w14:textId="77777777" w:rsidR="00E3794D" w:rsidRDefault="00E3794D" w:rsidP="00E3794D">
      <w:pPr>
        <w:pStyle w:val="CETCaption"/>
        <w:rPr>
          <w:color w:val="000000" w:themeColor="text1"/>
          <w:lang w:val="en-US"/>
        </w:rPr>
      </w:pPr>
      <w:r>
        <w:t xml:space="preserve">Figure 1: </w:t>
      </w:r>
      <w:r w:rsidRPr="000D5E70">
        <w:rPr>
          <w:rFonts w:eastAsia="Calibri"/>
          <w:color w:val="000000" w:themeColor="text1"/>
          <w:lang w:val="en-US"/>
        </w:rPr>
        <w:t>Adsorption isotherm curves of tamarind pulp powder at temperatures of 25</w:t>
      </w:r>
      <w:r>
        <w:rPr>
          <w:rFonts w:eastAsia="Calibri"/>
          <w:color w:val="000000" w:themeColor="text1"/>
          <w:lang w:val="en-US"/>
        </w:rPr>
        <w:t xml:space="preserve"> </w:t>
      </w:r>
      <w:r w:rsidRPr="000D5E70">
        <w:rPr>
          <w:rFonts w:eastAsia="Calibri"/>
          <w:color w:val="000000" w:themeColor="text1"/>
          <w:lang w:val="en-US"/>
        </w:rPr>
        <w:t>°C and 40</w:t>
      </w:r>
      <w:r>
        <w:rPr>
          <w:rFonts w:eastAsia="Calibri"/>
          <w:color w:val="000000" w:themeColor="text1"/>
          <w:lang w:val="en-US"/>
        </w:rPr>
        <w:t xml:space="preserve"> </w:t>
      </w:r>
      <w:r w:rsidRPr="000D5E70">
        <w:rPr>
          <w:rFonts w:eastAsia="Calibri"/>
          <w:color w:val="000000" w:themeColor="text1"/>
          <w:lang w:val="en-US"/>
        </w:rPr>
        <w:t>°C (lines) predicted by the GAB model</w:t>
      </w:r>
      <w:r w:rsidRPr="000D5E70">
        <w:rPr>
          <w:color w:val="000000" w:themeColor="text1"/>
          <w:lang w:val="en-US"/>
        </w:rPr>
        <w:t>.</w:t>
      </w:r>
    </w:p>
    <w:p w14:paraId="347A78AE" w14:textId="77777777" w:rsidR="00E3794D" w:rsidRDefault="00E3794D" w:rsidP="00E3794D">
      <w:pPr>
        <w:pStyle w:val="Recuodecorpodetexto"/>
        <w:spacing w:after="0"/>
        <w:ind w:left="0"/>
        <w:rPr>
          <w:rFonts w:cs="Arial"/>
          <w:color w:val="000000" w:themeColor="text1"/>
          <w:lang w:val="en-US"/>
        </w:rPr>
      </w:pPr>
      <w:r w:rsidRPr="00C83984">
        <w:rPr>
          <w:rFonts w:cs="Arial"/>
          <w:color w:val="000000" w:themeColor="text1"/>
          <w:lang w:val="en-US"/>
        </w:rPr>
        <w:t xml:space="preserve">In all treatments, the observed curves represent the typical behavior of foods rich in sugar, with “J” curves. This behavior is </w:t>
      </w:r>
      <w:r>
        <w:rPr>
          <w:rFonts w:cs="Arial"/>
          <w:color w:val="000000" w:themeColor="text1"/>
          <w:lang w:val="en-US"/>
        </w:rPr>
        <w:t xml:space="preserve">related </w:t>
      </w:r>
      <w:r w:rsidRPr="00C83984">
        <w:rPr>
          <w:rFonts w:cs="Arial"/>
          <w:color w:val="000000" w:themeColor="text1"/>
          <w:lang w:val="en-US"/>
        </w:rPr>
        <w:t>to solute-solvent interactions associated with sugar dissolution (Cano-Higuita et al., 2015). This behavior is even more evident from a</w:t>
      </w:r>
      <w:r w:rsidRPr="004165B6">
        <w:rPr>
          <w:rFonts w:cs="Arial"/>
          <w:color w:val="000000" w:themeColor="text1"/>
          <w:vertAlign w:val="subscript"/>
          <w:lang w:val="en-US"/>
        </w:rPr>
        <w:t>w</w:t>
      </w:r>
      <w:r w:rsidRPr="00C83984">
        <w:rPr>
          <w:rFonts w:cs="Arial"/>
          <w:color w:val="000000" w:themeColor="text1"/>
          <w:lang w:val="en-US"/>
        </w:rPr>
        <w:t xml:space="preserve"> 0.2 for the control samples, in which a small increase in water activity results in a large rise in moisture in the powder. It is recommended to carefully consider high barrier packages when the storing of tamarind pulp powder </w:t>
      </w:r>
      <w:r>
        <w:rPr>
          <w:rFonts w:cs="Arial"/>
          <w:color w:val="000000" w:themeColor="text1"/>
          <w:lang w:val="en-US"/>
        </w:rPr>
        <w:t>i</w:t>
      </w:r>
      <w:r w:rsidRPr="00C83984">
        <w:rPr>
          <w:rFonts w:cs="Arial"/>
          <w:color w:val="000000" w:themeColor="text1"/>
          <w:lang w:val="en-US"/>
        </w:rPr>
        <w:t>n environments with relative humidity above 20</w:t>
      </w:r>
      <w:r>
        <w:rPr>
          <w:rFonts w:cs="Arial"/>
          <w:color w:val="000000" w:themeColor="text1"/>
          <w:lang w:val="en-US"/>
        </w:rPr>
        <w:t xml:space="preserve"> </w:t>
      </w:r>
      <w:r w:rsidRPr="00C83984">
        <w:rPr>
          <w:rFonts w:cs="Arial"/>
          <w:color w:val="000000" w:themeColor="text1"/>
          <w:lang w:val="en-US"/>
        </w:rPr>
        <w:t>%.</w:t>
      </w:r>
    </w:p>
    <w:p w14:paraId="597476BD" w14:textId="77777777" w:rsidR="00E3794D" w:rsidRDefault="00E3794D" w:rsidP="00E3794D">
      <w:pPr>
        <w:pStyle w:val="Recuodecorpodetexto"/>
        <w:spacing w:after="0"/>
        <w:ind w:left="0"/>
        <w:rPr>
          <w:rFonts w:cs="Arial"/>
          <w:color w:val="000000" w:themeColor="text1"/>
          <w:lang w:val="en-US"/>
        </w:rPr>
      </w:pPr>
      <w:r w:rsidRPr="00C83984">
        <w:rPr>
          <w:rFonts w:cs="Arial"/>
          <w:color w:val="000000" w:themeColor="text1"/>
          <w:lang w:val="en-US"/>
        </w:rPr>
        <w:t>The reduction in acidity of the tamarind pulp improved lyophilization, presenting powders with more uniform curves</w:t>
      </w:r>
      <w:r>
        <w:rPr>
          <w:rFonts w:cs="Arial"/>
          <w:color w:val="000000" w:themeColor="text1"/>
          <w:lang w:val="en-US"/>
        </w:rPr>
        <w:t xml:space="preserve"> (Figure 1)</w:t>
      </w:r>
      <w:r w:rsidRPr="00C83984">
        <w:rPr>
          <w:rFonts w:cs="Arial"/>
          <w:color w:val="000000" w:themeColor="text1"/>
          <w:lang w:val="en-US"/>
        </w:rPr>
        <w:t>, which is similar behavior to that of equilibrium moisture values, even with temperature increases. This indicated a positive influence of tamarind pulp acidity reduction before lyophilization and the addition of the anti-caking agent to the powder before packaging.</w:t>
      </w:r>
    </w:p>
    <w:p w14:paraId="63FC0E18" w14:textId="77777777" w:rsidR="00E3794D" w:rsidRDefault="00E3794D" w:rsidP="00E3794D">
      <w:pPr>
        <w:pStyle w:val="Recuodecorpodetexto"/>
        <w:spacing w:after="0"/>
        <w:ind w:left="0"/>
        <w:rPr>
          <w:rFonts w:cs="Arial"/>
          <w:color w:val="000000" w:themeColor="text1"/>
          <w:lang w:val="en-US"/>
        </w:rPr>
      </w:pPr>
      <w:r w:rsidRPr="00C83984">
        <w:rPr>
          <w:rFonts w:cs="Arial"/>
          <w:color w:val="000000" w:themeColor="text1"/>
          <w:lang w:val="en-US"/>
        </w:rPr>
        <w:t xml:space="preserve">Cavalcante et al., (2018) </w:t>
      </w:r>
      <w:r>
        <w:rPr>
          <w:rFonts w:cs="Arial"/>
          <w:color w:val="000000" w:themeColor="text1"/>
          <w:lang w:val="en-US"/>
        </w:rPr>
        <w:t>studying</w:t>
      </w:r>
      <w:r w:rsidRPr="00C83984">
        <w:rPr>
          <w:rFonts w:cs="Arial"/>
          <w:color w:val="000000" w:themeColor="text1"/>
          <w:lang w:val="en-US"/>
        </w:rPr>
        <w:t xml:space="preserve"> </w:t>
      </w:r>
      <w:r>
        <w:rPr>
          <w:rFonts w:cs="Arial"/>
          <w:color w:val="000000" w:themeColor="text1"/>
          <w:lang w:val="en-US"/>
        </w:rPr>
        <w:t xml:space="preserve">a spray-dried </w:t>
      </w:r>
      <w:r w:rsidRPr="00C83984">
        <w:rPr>
          <w:rFonts w:cs="Arial"/>
          <w:color w:val="000000" w:themeColor="text1"/>
          <w:lang w:val="en-US"/>
        </w:rPr>
        <w:t>soursop powder</w:t>
      </w:r>
      <w:r>
        <w:rPr>
          <w:rFonts w:cs="Arial"/>
          <w:color w:val="000000" w:themeColor="text1"/>
          <w:lang w:val="en-US"/>
        </w:rPr>
        <w:t xml:space="preserve">, obtained isotherms </w:t>
      </w:r>
      <w:r w:rsidRPr="00C83984">
        <w:rPr>
          <w:rFonts w:cs="Arial"/>
          <w:color w:val="000000" w:themeColor="text1"/>
          <w:lang w:val="en-US"/>
        </w:rPr>
        <w:t>similar to those of neutralized tamarind pulp powder and indicated a value of up to 60 % of relative humidity during storage; above this value, there may be impacts on material stability. Thus, the same for tamarind pulp powder N (pH3.5), with or without the addition of CaCO</w:t>
      </w:r>
      <w:r w:rsidRPr="00151443">
        <w:rPr>
          <w:rFonts w:cs="Arial"/>
          <w:color w:val="000000" w:themeColor="text1"/>
          <w:vertAlign w:val="subscript"/>
          <w:lang w:val="en-US"/>
        </w:rPr>
        <w:t>3</w:t>
      </w:r>
      <w:r w:rsidRPr="00C83984">
        <w:rPr>
          <w:rFonts w:cs="Arial"/>
          <w:color w:val="000000" w:themeColor="text1"/>
          <w:lang w:val="en-US"/>
        </w:rPr>
        <w:t xml:space="preserve"> (2.5</w:t>
      </w:r>
      <w:r>
        <w:rPr>
          <w:rFonts w:cs="Arial"/>
          <w:color w:val="000000" w:themeColor="text1"/>
          <w:lang w:val="en-US"/>
        </w:rPr>
        <w:t xml:space="preserve"> </w:t>
      </w:r>
      <w:r w:rsidRPr="00C83984">
        <w:rPr>
          <w:rFonts w:cs="Arial"/>
          <w:color w:val="000000" w:themeColor="text1"/>
          <w:lang w:val="en-US"/>
        </w:rPr>
        <w:t>%), can be recommended.</w:t>
      </w:r>
    </w:p>
    <w:p w14:paraId="6A5167CF" w14:textId="32767B40" w:rsidR="00600535" w:rsidRPr="00564622" w:rsidRDefault="00E3794D" w:rsidP="00564622">
      <w:pPr>
        <w:pStyle w:val="CETBodytext"/>
        <w:rPr>
          <w:lang w:val="en-GB"/>
        </w:rPr>
      </w:pPr>
      <w:r w:rsidRPr="00C83984">
        <w:rPr>
          <w:rFonts w:cs="Arial"/>
          <w:color w:val="000000" w:themeColor="text1"/>
        </w:rPr>
        <w:lastRenderedPageBreak/>
        <w:t>Acidity reduction and addition of CaCO</w:t>
      </w:r>
      <w:r w:rsidRPr="00151443">
        <w:rPr>
          <w:rFonts w:cs="Arial"/>
          <w:color w:val="000000" w:themeColor="text1"/>
          <w:vertAlign w:val="subscript"/>
        </w:rPr>
        <w:t>3</w:t>
      </w:r>
      <w:r w:rsidRPr="00C83984">
        <w:rPr>
          <w:rFonts w:cs="Arial"/>
          <w:color w:val="000000" w:themeColor="text1"/>
        </w:rPr>
        <w:t xml:space="preserve"> were useful in terms of enabling gradual and slow behavi</w:t>
      </w:r>
      <w:r>
        <w:rPr>
          <w:rFonts w:cs="Arial"/>
          <w:color w:val="000000" w:themeColor="text1"/>
        </w:rPr>
        <w:t>or of equilibrium moisture (</w:t>
      </w:r>
      <w:r>
        <w:rPr>
          <w:rFonts w:cs="Arial"/>
          <w:color w:val="000000" w:themeColor="text1"/>
        </w:rPr>
        <w:tab/>
        <w:t xml:space="preserve">Figure 1), </w:t>
      </w:r>
      <w:r w:rsidRPr="00C83984">
        <w:rPr>
          <w:rFonts w:cs="Arial"/>
          <w:color w:val="000000" w:themeColor="text1"/>
        </w:rPr>
        <w:t xml:space="preserve">softening the effects caused by the temperature </w:t>
      </w:r>
      <w:r>
        <w:rPr>
          <w:rFonts w:cs="Arial"/>
          <w:color w:val="000000" w:themeColor="text1"/>
        </w:rPr>
        <w:t>(</w:t>
      </w:r>
      <w:r w:rsidRPr="00C83984">
        <w:rPr>
          <w:rFonts w:cs="Arial"/>
          <w:color w:val="000000" w:themeColor="text1"/>
        </w:rPr>
        <w:t>40</w:t>
      </w:r>
      <w:r>
        <w:rPr>
          <w:rFonts w:cs="Arial"/>
          <w:color w:val="000000" w:themeColor="text1"/>
        </w:rPr>
        <w:t xml:space="preserve"> </w:t>
      </w:r>
      <w:r w:rsidRPr="00C83984">
        <w:rPr>
          <w:rFonts w:cs="Arial"/>
          <w:color w:val="000000" w:themeColor="text1"/>
        </w:rPr>
        <w:t>°C</w:t>
      </w:r>
      <w:r>
        <w:rPr>
          <w:rFonts w:cs="Arial"/>
          <w:color w:val="000000" w:themeColor="text1"/>
        </w:rPr>
        <w:t>)</w:t>
      </w:r>
      <w:r w:rsidRPr="00C83984">
        <w:rPr>
          <w:rFonts w:cs="Arial"/>
          <w:color w:val="000000" w:themeColor="text1"/>
        </w:rPr>
        <w:t>.</w:t>
      </w:r>
      <w:r>
        <w:rPr>
          <w:rFonts w:cs="Arial"/>
          <w:color w:val="000000" w:themeColor="text1"/>
        </w:rPr>
        <w:t xml:space="preserve"> </w:t>
      </w:r>
      <w:r w:rsidRPr="00ED1E53">
        <w:rPr>
          <w:rFonts w:cs="Arial"/>
          <w:color w:val="000000" w:themeColor="text1"/>
        </w:rPr>
        <w:t>The packag</w:t>
      </w:r>
      <w:r>
        <w:rPr>
          <w:rFonts w:cs="Arial"/>
          <w:color w:val="000000" w:themeColor="text1"/>
        </w:rPr>
        <w:t>e</w:t>
      </w:r>
      <w:r w:rsidRPr="00ED1E53">
        <w:rPr>
          <w:rFonts w:cs="Arial"/>
          <w:color w:val="000000" w:themeColor="text1"/>
        </w:rPr>
        <w:t xml:space="preserve"> was efficient as a barrier to the humidity of the air, maintaining the hygroscopic behavior and fl</w:t>
      </w:r>
      <w:r>
        <w:rPr>
          <w:rFonts w:cs="Arial"/>
          <w:color w:val="000000" w:themeColor="text1"/>
        </w:rPr>
        <w:t>owability</w:t>
      </w:r>
      <w:r w:rsidRPr="00ED1E53">
        <w:rPr>
          <w:rFonts w:cs="Arial"/>
          <w:color w:val="000000" w:themeColor="text1"/>
        </w:rPr>
        <w:t>, while the calcium carbonate helped to decrease the agglomeration of particles and maintaining the flow ind</w:t>
      </w:r>
      <w:r>
        <w:rPr>
          <w:rFonts w:cs="Arial"/>
          <w:color w:val="000000" w:themeColor="text1"/>
        </w:rPr>
        <w:t>ices</w:t>
      </w:r>
      <w:r w:rsidRPr="00ED1E53">
        <w:rPr>
          <w:rFonts w:cs="Arial"/>
          <w:color w:val="000000" w:themeColor="text1"/>
        </w:rPr>
        <w:t>.</w:t>
      </w:r>
    </w:p>
    <w:p w14:paraId="68D26B83" w14:textId="77777777" w:rsidR="00600535" w:rsidRPr="00B57B36" w:rsidRDefault="00600535" w:rsidP="00600535">
      <w:pPr>
        <w:pStyle w:val="CETHeading1"/>
        <w:rPr>
          <w:lang w:val="en-GB"/>
        </w:rPr>
      </w:pPr>
      <w:r w:rsidRPr="00B57B36">
        <w:rPr>
          <w:lang w:val="en-GB"/>
        </w:rPr>
        <w:t>Conclusions</w:t>
      </w:r>
    </w:p>
    <w:p w14:paraId="52DAFDE0" w14:textId="0DFB553B" w:rsidR="001D0CFB" w:rsidRDefault="00E3794D" w:rsidP="00600535">
      <w:pPr>
        <w:pStyle w:val="CETBodytext"/>
        <w:rPr>
          <w:lang w:val="en-GB"/>
        </w:rPr>
      </w:pPr>
      <w:r w:rsidRPr="00E3794D">
        <w:rPr>
          <w:lang w:val="en-GB"/>
        </w:rPr>
        <w:t>The freeze-drying of tamarind pulp, evaluated with the use of acidity reduction and use of anticaking agent, presented satisfactory results for hygroscopicity, solubility and flow index. However, all exhibited “caking formation” and a beneficial effect with an anticaking agent in the formulations of tamarind pulp powder to improve flowability. The GAB model better described the adsorption isotherms. Tamarind powder with acidity reduction (pH 3.5) was more resistant to the influence of air humidity than tamarind powder control (pH 2.5). It is recommended to store tamarind pulp powder in environments with a relative humidity of &lt; 20 %. For tamarind pulp powder with reduced acidity (pH 3.5), the relative humidity during storage can be up to 60 %, with a reduced stability above this value.</w:t>
      </w:r>
    </w:p>
    <w:p w14:paraId="33F16615" w14:textId="77777777" w:rsidR="00564622" w:rsidRDefault="00564622" w:rsidP="00564622">
      <w:pPr>
        <w:pStyle w:val="CETAcknowledgementstitle"/>
      </w:pPr>
      <w:r w:rsidRPr="00B57B36">
        <w:t>Acknowledgments</w:t>
      </w:r>
    </w:p>
    <w:p w14:paraId="4EE5F7BD" w14:textId="77777777" w:rsidR="00564622" w:rsidRPr="00F94E2B" w:rsidRDefault="00564622" w:rsidP="00564622">
      <w:pPr>
        <w:pStyle w:val="CETBodytext"/>
        <w:rPr>
          <w:lang w:val="en-GB"/>
        </w:rPr>
      </w:pPr>
      <w:r w:rsidRPr="00C83984">
        <w:rPr>
          <w:color w:val="000000" w:themeColor="text1"/>
        </w:rPr>
        <w:t>The authors gratefully acknowledge the financial support received from Empresa Brasileira de Pesquisa Agropecuária (EMBRAPA),</w:t>
      </w:r>
      <w:r>
        <w:rPr>
          <w:color w:val="000000" w:themeColor="text1"/>
        </w:rPr>
        <w:t xml:space="preserve"> and</w:t>
      </w:r>
      <w:r w:rsidRPr="00C83984">
        <w:rPr>
          <w:color w:val="000000" w:themeColor="text1"/>
        </w:rPr>
        <w:t xml:space="preserve"> to the Federal University of Ceará, and the fellowship by Fundação Cearense de Apoio a Pesquisa (FUNCAP)</w:t>
      </w:r>
      <w:r>
        <w:rPr>
          <w:color w:val="000000" w:themeColor="text1"/>
        </w:rPr>
        <w:t>.</w:t>
      </w:r>
    </w:p>
    <w:p w14:paraId="675DEBC5" w14:textId="77777777" w:rsidR="00564622" w:rsidRPr="002641D8" w:rsidRDefault="00564622" w:rsidP="00564622">
      <w:pPr>
        <w:pStyle w:val="CETReference"/>
        <w:rPr>
          <w:lang w:val="pt-BR"/>
        </w:rPr>
      </w:pPr>
      <w:r w:rsidRPr="002641D8">
        <w:rPr>
          <w:lang w:val="pt-BR"/>
        </w:rPr>
        <w:t>References</w:t>
      </w:r>
    </w:p>
    <w:p w14:paraId="192AC3CE" w14:textId="77777777" w:rsidR="00564622" w:rsidRPr="00E172BA" w:rsidRDefault="00564622" w:rsidP="00564622">
      <w:pPr>
        <w:pStyle w:val="CETReferencetext"/>
        <w:rPr>
          <w:szCs w:val="18"/>
        </w:rPr>
      </w:pPr>
      <w:r w:rsidRPr="00E172BA">
        <w:rPr>
          <w:rFonts w:cs="Arial"/>
          <w:szCs w:val="18"/>
          <w:shd w:val="clear" w:color="auto" w:fill="FFFFFF"/>
          <w:lang w:val="pt-BR"/>
        </w:rPr>
        <w:t xml:space="preserve">Bhusari S. N., Muzaffar K., Kumar, P., 2014. </w:t>
      </w:r>
      <w:r w:rsidRPr="00E172BA">
        <w:rPr>
          <w:rFonts w:cs="Arial"/>
          <w:szCs w:val="18"/>
          <w:shd w:val="clear" w:color="auto" w:fill="FFFFFF"/>
          <w:lang w:val="en-US"/>
        </w:rPr>
        <w:t>Effect of carrier agents on physical and microstructural properties of spray dried tamarind pulp powder, Powder Technology, 266, 354–364. dx.doi.org/10.1016/j.powtec.2014.06.038.</w:t>
      </w:r>
    </w:p>
    <w:p w14:paraId="18A66425" w14:textId="77777777" w:rsidR="00564622" w:rsidRPr="00E172BA" w:rsidRDefault="00564622" w:rsidP="00564622">
      <w:pPr>
        <w:pStyle w:val="CETReferencetext"/>
        <w:rPr>
          <w:rFonts w:cs="Arial"/>
          <w:szCs w:val="18"/>
          <w:shd w:val="clear" w:color="auto" w:fill="FFFFFF"/>
          <w:lang w:val="en-US"/>
        </w:rPr>
      </w:pPr>
      <w:r w:rsidRPr="00E172BA">
        <w:rPr>
          <w:rFonts w:cs="Arial"/>
          <w:szCs w:val="18"/>
          <w:shd w:val="clear" w:color="auto" w:fill="FFFFFF"/>
          <w:lang w:val="pt-BR"/>
        </w:rPr>
        <w:t xml:space="preserve">Cano-Higuita D. M., Villa-Vélez H. A., Telis-Romero J., Váquiro H. A., Telis V. R. N., 2015. </w:t>
      </w:r>
      <w:r w:rsidRPr="00E172BA">
        <w:rPr>
          <w:rFonts w:cs="Arial"/>
          <w:szCs w:val="18"/>
          <w:shd w:val="clear" w:color="auto" w:fill="FFFFFF"/>
          <w:lang w:val="en-US"/>
        </w:rPr>
        <w:t>Influence of alternative drying aids on water sorption of spray dried mango mix powders: A thermodynamic approach, Food and Bioproducts Processing, 93,19–28.</w:t>
      </w:r>
    </w:p>
    <w:p w14:paraId="425C9CA8" w14:textId="77777777" w:rsidR="00564622" w:rsidRPr="00E172BA" w:rsidRDefault="00564622" w:rsidP="00564622">
      <w:pPr>
        <w:pStyle w:val="CETReferencetext"/>
        <w:rPr>
          <w:rFonts w:cs="Arial"/>
          <w:szCs w:val="18"/>
          <w:shd w:val="clear" w:color="auto" w:fill="FFFFFF"/>
          <w:lang w:val="pt-BR"/>
        </w:rPr>
      </w:pPr>
      <w:r w:rsidRPr="00E172BA">
        <w:rPr>
          <w:rFonts w:cs="Arial"/>
          <w:szCs w:val="18"/>
          <w:shd w:val="clear" w:color="auto" w:fill="FFFFFF"/>
          <w:lang w:val="pt-BR"/>
        </w:rPr>
        <w:t>Cavalcante C. E. B., Rodrigues S., Afonso M. R. A., Costa J. M. C., 2018. Comportamento higroscópico da polpa de graviola em pó obtida por secagem em spray drier, Brazilian Journal of Food Technology, 21,1–8.</w:t>
      </w:r>
    </w:p>
    <w:p w14:paraId="75F2C23A" w14:textId="77777777" w:rsidR="00564622" w:rsidRPr="00E172BA" w:rsidRDefault="00564622" w:rsidP="00564622">
      <w:pPr>
        <w:pStyle w:val="CETReferencetext"/>
        <w:rPr>
          <w:rFonts w:cs="Arial"/>
          <w:szCs w:val="18"/>
          <w:shd w:val="clear" w:color="auto" w:fill="FFFFFF"/>
          <w:lang w:val="en-US"/>
        </w:rPr>
      </w:pPr>
      <w:r w:rsidRPr="00E172BA">
        <w:rPr>
          <w:rFonts w:cs="Arial"/>
          <w:szCs w:val="18"/>
          <w:shd w:val="clear" w:color="auto" w:fill="FFFFFF"/>
          <w:lang w:val="pt-BR"/>
        </w:rPr>
        <w:t xml:space="preserve">Goula A. M., Adamopoulos K. G., 2008. </w:t>
      </w:r>
      <w:r w:rsidRPr="00E172BA">
        <w:rPr>
          <w:rFonts w:cs="Arial"/>
          <w:szCs w:val="18"/>
          <w:shd w:val="clear" w:color="auto" w:fill="FFFFFF"/>
          <w:lang w:val="en-US"/>
        </w:rPr>
        <w:t>Effect of maltodextrin addition during spray drying of tomato pulp in dehumidified air: II. Powder Properties, Drying Technology, 26, 726–737.</w:t>
      </w:r>
    </w:p>
    <w:p w14:paraId="7D122C2B" w14:textId="77777777" w:rsidR="00564622" w:rsidRPr="00E172BA" w:rsidRDefault="00564622" w:rsidP="00564622">
      <w:pPr>
        <w:pStyle w:val="CETReferencetext"/>
        <w:rPr>
          <w:rFonts w:cs="Arial"/>
          <w:szCs w:val="18"/>
          <w:shd w:val="clear" w:color="auto" w:fill="FFFFFF"/>
          <w:lang w:val="en-US"/>
        </w:rPr>
      </w:pPr>
      <w:r w:rsidRPr="00E172BA">
        <w:rPr>
          <w:rFonts w:cs="Arial"/>
          <w:szCs w:val="18"/>
          <w:shd w:val="clear" w:color="auto" w:fill="FFFFFF"/>
          <w:lang w:val="en-US"/>
        </w:rPr>
        <w:t>Greenspan L., 1967. Humidity fixed points of binary satured aqueous solutions, Jounal of Research of the National Bureau of Standards – Physics and Chemistry, 81, 89-96.</w:t>
      </w:r>
    </w:p>
    <w:p w14:paraId="3D356CA0" w14:textId="77777777" w:rsidR="00564622" w:rsidRPr="00E172BA" w:rsidRDefault="00564622" w:rsidP="00564622">
      <w:pPr>
        <w:pStyle w:val="CETReferencetext"/>
        <w:rPr>
          <w:rFonts w:cs="Arial"/>
          <w:szCs w:val="18"/>
          <w:shd w:val="clear" w:color="auto" w:fill="FFFFFF"/>
          <w:lang w:val="en-US"/>
        </w:rPr>
      </w:pPr>
      <w:r w:rsidRPr="00E172BA">
        <w:rPr>
          <w:rFonts w:cs="Arial"/>
          <w:szCs w:val="18"/>
          <w:shd w:val="clear" w:color="auto" w:fill="FFFFFF"/>
          <w:lang w:val="en-US"/>
        </w:rPr>
        <w:t>Jenike A. W., 1964. Storage and flow of silos. Bulletin 123. Salt Lake City: University of Utah, pp. 89p.</w:t>
      </w:r>
    </w:p>
    <w:p w14:paraId="45950B78" w14:textId="77777777" w:rsidR="00564622" w:rsidRPr="00E172BA" w:rsidRDefault="00564622" w:rsidP="00564622">
      <w:pPr>
        <w:pStyle w:val="CETReferencetext"/>
        <w:rPr>
          <w:rFonts w:cs="Arial"/>
          <w:szCs w:val="18"/>
          <w:shd w:val="clear" w:color="auto" w:fill="FFFFFF"/>
          <w:lang w:val="en-US"/>
        </w:rPr>
      </w:pPr>
      <w:r w:rsidRPr="00E172BA">
        <w:rPr>
          <w:rFonts w:cs="Arial"/>
          <w:szCs w:val="18"/>
          <w:shd w:val="clear" w:color="auto" w:fill="FFFFFF"/>
          <w:lang w:val="en-US"/>
        </w:rPr>
        <w:t xml:space="preserve">Kuru, P., 2014. </w:t>
      </w:r>
      <w:r w:rsidRPr="00F2181C">
        <w:rPr>
          <w:rFonts w:cs="Arial"/>
          <w:i/>
          <w:iCs/>
          <w:szCs w:val="18"/>
          <w:shd w:val="clear" w:color="auto" w:fill="FFFFFF"/>
          <w:lang w:val="en-US"/>
        </w:rPr>
        <w:t>Tamarindus indica</w:t>
      </w:r>
      <w:r w:rsidRPr="00E172BA">
        <w:rPr>
          <w:rFonts w:cs="Arial"/>
          <w:szCs w:val="18"/>
          <w:shd w:val="clear" w:color="auto" w:fill="FFFFFF"/>
          <w:lang w:val="en-US"/>
        </w:rPr>
        <w:t xml:space="preserve"> and its health-related effects, Asian Pacific Journal of Tropical Biomedicine, 4, 676–681. 10.12980/APJTB.4.2014APJTB-2014-0173.</w:t>
      </w:r>
    </w:p>
    <w:p w14:paraId="01E5D02A" w14:textId="77777777" w:rsidR="00564622" w:rsidRPr="00E172BA" w:rsidRDefault="00564622" w:rsidP="00564622">
      <w:pPr>
        <w:pStyle w:val="CETReferencetext"/>
        <w:rPr>
          <w:rFonts w:cs="Arial"/>
          <w:szCs w:val="18"/>
          <w:shd w:val="clear" w:color="auto" w:fill="FFFFFF"/>
          <w:lang w:val="en-US"/>
        </w:rPr>
      </w:pPr>
      <w:r w:rsidRPr="00E172BA">
        <w:rPr>
          <w:rFonts w:cs="Arial"/>
          <w:szCs w:val="18"/>
          <w:shd w:val="clear" w:color="auto" w:fill="FFFFFF"/>
          <w:lang w:val="en-US"/>
        </w:rPr>
        <w:t>Labuza T. P., Kaanane A., Chen, J. Y., 1985. Effects of temperature on moisture sorption isotherms and water activity shift of two dehydrated foods, Journal of Food Science, 50, 385–392. dx.doi.org/10.1111/j.1365-2621.1985.tb13409.x.</w:t>
      </w:r>
    </w:p>
    <w:p w14:paraId="686F9F5E" w14:textId="77777777" w:rsidR="00564622" w:rsidRPr="00E172BA" w:rsidRDefault="00564622" w:rsidP="00564622">
      <w:pPr>
        <w:pStyle w:val="CETReferencetext"/>
        <w:rPr>
          <w:rFonts w:cs="Arial"/>
          <w:szCs w:val="18"/>
          <w:shd w:val="clear" w:color="auto" w:fill="FFFFFF"/>
          <w:lang w:val="pt-BR"/>
        </w:rPr>
      </w:pPr>
      <w:r w:rsidRPr="00E172BA">
        <w:rPr>
          <w:rFonts w:cs="Arial"/>
          <w:szCs w:val="18"/>
          <w:shd w:val="clear" w:color="auto" w:fill="FFFFFF"/>
          <w:lang w:val="pt-BR"/>
        </w:rPr>
        <w:t>Maia J. L., 2018. Estudo do despolpamento do tamarindo (</w:t>
      </w:r>
      <w:r w:rsidRPr="00F2181C">
        <w:rPr>
          <w:rFonts w:cs="Arial"/>
          <w:i/>
          <w:iCs/>
          <w:szCs w:val="18"/>
          <w:shd w:val="clear" w:color="auto" w:fill="FFFFFF"/>
          <w:lang w:val="pt-BR"/>
        </w:rPr>
        <w:t>Tamarindus indica</w:t>
      </w:r>
      <w:r w:rsidRPr="00E172BA">
        <w:rPr>
          <w:rFonts w:cs="Arial"/>
          <w:szCs w:val="18"/>
          <w:shd w:val="clear" w:color="auto" w:fill="FFFFFF"/>
          <w:lang w:val="pt-BR"/>
        </w:rPr>
        <w:t xml:space="preserve"> L.) e desenvolvimento de suco com acidez reduzida, (Dissertação) Universidade Federal do Ceará, Fortaleza.</w:t>
      </w:r>
    </w:p>
    <w:p w14:paraId="1D41B743" w14:textId="77777777" w:rsidR="00564622" w:rsidRPr="00E172BA" w:rsidRDefault="00564622" w:rsidP="00564622">
      <w:pPr>
        <w:pStyle w:val="CETReferencetext"/>
        <w:rPr>
          <w:rFonts w:cs="Arial"/>
          <w:szCs w:val="18"/>
          <w:shd w:val="clear" w:color="auto" w:fill="FFFFFF"/>
          <w:lang w:val="pt-BR"/>
        </w:rPr>
      </w:pPr>
      <w:r w:rsidRPr="00E172BA">
        <w:rPr>
          <w:rFonts w:cs="Arial"/>
          <w:szCs w:val="18"/>
          <w:shd w:val="clear" w:color="auto" w:fill="FFFFFF"/>
          <w:lang w:val="en-US"/>
        </w:rPr>
        <w:t xml:space="preserve">Muzaffar K., Kumar P., 2016. Moisture sorption isotherms and storage study of spray dried tamarind pulp powder, Powder Technology, 291, 322–327. </w:t>
      </w:r>
      <w:r w:rsidRPr="00E172BA">
        <w:rPr>
          <w:rFonts w:cs="Arial"/>
          <w:szCs w:val="18"/>
          <w:shd w:val="clear" w:color="auto" w:fill="FFFFFF"/>
          <w:lang w:val="pt-BR"/>
        </w:rPr>
        <w:t>10.1016/j.powtec.2015.12.046.</w:t>
      </w:r>
    </w:p>
    <w:p w14:paraId="7D205536" w14:textId="2194D17E" w:rsidR="00564622" w:rsidRPr="00E172BA" w:rsidRDefault="00564622" w:rsidP="00564622">
      <w:pPr>
        <w:pStyle w:val="CETReferencetext"/>
        <w:rPr>
          <w:rFonts w:cs="Arial"/>
          <w:szCs w:val="18"/>
          <w:shd w:val="clear" w:color="auto" w:fill="FFFFFF"/>
          <w:lang w:val="pt-BR"/>
        </w:rPr>
      </w:pPr>
      <w:r w:rsidRPr="00E172BA">
        <w:rPr>
          <w:rFonts w:cs="Arial"/>
          <w:szCs w:val="18"/>
          <w:shd w:val="clear" w:color="auto" w:fill="FFFFFF"/>
          <w:lang w:val="pt-BR"/>
        </w:rPr>
        <w:t>Passos T. U., 2017. Efeito da farinha de tamarindo no controle metabólico de pacientes diabéticos: ensaio clínico randomizado duplo cego controlado por placebo, Tese (</w:t>
      </w:r>
      <w:r w:rsidR="000C6C45" w:rsidRPr="00E172BA">
        <w:rPr>
          <w:rFonts w:cs="Arial"/>
          <w:szCs w:val="18"/>
          <w:shd w:val="clear" w:color="auto" w:fill="FFFFFF"/>
          <w:lang w:val="pt-BR"/>
        </w:rPr>
        <w:t>Doutorado em Saúde Coletiva) - Universidade Estadual do Ceará</w:t>
      </w:r>
      <w:r w:rsidRPr="00E172BA">
        <w:rPr>
          <w:rFonts w:cs="Arial"/>
          <w:szCs w:val="18"/>
          <w:shd w:val="clear" w:color="auto" w:fill="FFFFFF"/>
          <w:lang w:val="pt-BR"/>
        </w:rPr>
        <w:t>. pp. 165.</w:t>
      </w:r>
    </w:p>
    <w:p w14:paraId="5C71EA95" w14:textId="77777777" w:rsidR="00564622" w:rsidRDefault="00564622" w:rsidP="00564622">
      <w:pPr>
        <w:pStyle w:val="CETReferencetext"/>
        <w:rPr>
          <w:rFonts w:cs="Arial"/>
          <w:szCs w:val="18"/>
          <w:shd w:val="clear" w:color="auto" w:fill="FFFFFF"/>
          <w:lang w:val="en-US"/>
        </w:rPr>
      </w:pPr>
      <w:r w:rsidRPr="00E172BA">
        <w:rPr>
          <w:rFonts w:cs="Arial"/>
          <w:szCs w:val="18"/>
          <w:shd w:val="clear" w:color="auto" w:fill="FFFFFF"/>
          <w:lang w:val="pt-BR"/>
        </w:rPr>
        <w:t xml:space="preserve">Pedro M. A. M., Telis-Romero J., Telis V. R. N., 2010. </w:t>
      </w:r>
      <w:r w:rsidRPr="00E172BA">
        <w:rPr>
          <w:rFonts w:cs="Arial"/>
          <w:szCs w:val="18"/>
          <w:shd w:val="clear" w:color="auto" w:fill="FFFFFF"/>
          <w:lang w:val="en-US"/>
        </w:rPr>
        <w:t>Effect of drying method on the adsorption isotherms and isosteric heat of passion fruit pulp powder, Food Science and Technology, 30, 993–1000. dx.doi.org/10.1590/S0101-20612010000400024.</w:t>
      </w:r>
    </w:p>
    <w:p w14:paraId="19413A9C" w14:textId="77777777" w:rsidR="00564622" w:rsidRPr="00E172BA" w:rsidRDefault="00564622" w:rsidP="00564622">
      <w:pPr>
        <w:pStyle w:val="CETReferencetext"/>
        <w:rPr>
          <w:rFonts w:cs="Arial"/>
          <w:szCs w:val="18"/>
          <w:shd w:val="clear" w:color="auto" w:fill="FFFFFF"/>
          <w:lang w:val="en-US"/>
        </w:rPr>
      </w:pPr>
      <w:r w:rsidRPr="00931113">
        <w:rPr>
          <w:rFonts w:cs="Arial"/>
          <w:color w:val="000000"/>
          <w:szCs w:val="18"/>
          <w:lang w:val="en-US" w:eastAsia="pt-BR"/>
        </w:rPr>
        <w:t>Pisecky J., Westergaard V., Refstrup E. (Ed), 2012. Handbook of Milk Powder Manufacture - GEA Process Engineering A/S. ISBN No. 87-87036-74-6.</w:t>
      </w:r>
    </w:p>
    <w:p w14:paraId="19C4FC68" w14:textId="4689EDC5" w:rsidR="004628D2" w:rsidRPr="00C52F3F" w:rsidRDefault="00564622" w:rsidP="00C52F3F">
      <w:pPr>
        <w:pStyle w:val="CETReferencetext"/>
        <w:rPr>
          <w:szCs w:val="18"/>
          <w:lang w:val="pt-BR"/>
        </w:rPr>
      </w:pPr>
      <w:r w:rsidRPr="00E172BA">
        <w:rPr>
          <w:rFonts w:cs="Arial"/>
          <w:szCs w:val="18"/>
          <w:shd w:val="clear" w:color="auto" w:fill="FFFFFF"/>
          <w:lang w:val="pt-BR"/>
        </w:rPr>
        <w:t>Souza D. S., 2015. Caracterização e avaliação da capacidade antioxidante da polpa liofilizada enriquecida com extrato aquoso da semente de tamarindo (</w:t>
      </w:r>
      <w:r w:rsidRPr="00F2181C">
        <w:rPr>
          <w:rFonts w:cs="Arial"/>
          <w:i/>
          <w:iCs/>
          <w:szCs w:val="18"/>
          <w:shd w:val="clear" w:color="auto" w:fill="FFFFFF"/>
          <w:lang w:val="pt-BR"/>
        </w:rPr>
        <w:t>Tamarindus indica</w:t>
      </w:r>
      <w:r w:rsidRPr="00E172BA">
        <w:rPr>
          <w:rFonts w:cs="Arial"/>
          <w:szCs w:val="18"/>
          <w:shd w:val="clear" w:color="auto" w:fill="FFFFFF"/>
          <w:lang w:val="pt-BR"/>
        </w:rPr>
        <w:t>), (Tese) Universidade Estadual de Campinas, Campinas.</w:t>
      </w:r>
    </w:p>
    <w:sectPr w:rsidR="004628D2" w:rsidRPr="00C52F3F"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E8D32E" w14:textId="77777777" w:rsidR="0016073A" w:rsidRDefault="0016073A" w:rsidP="004F5E36">
      <w:r>
        <w:separator/>
      </w:r>
    </w:p>
  </w:endnote>
  <w:endnote w:type="continuationSeparator" w:id="0">
    <w:p w14:paraId="49EB5A53" w14:textId="77777777" w:rsidR="0016073A" w:rsidRDefault="0016073A"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68E6A6" w14:textId="77777777" w:rsidR="0016073A" w:rsidRDefault="0016073A" w:rsidP="004F5E36">
      <w:r>
        <w:separator/>
      </w:r>
    </w:p>
  </w:footnote>
  <w:footnote w:type="continuationSeparator" w:id="0">
    <w:p w14:paraId="665EADA1" w14:textId="77777777" w:rsidR="0016073A" w:rsidRDefault="0016073A"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558AF15E"/>
    <w:lvl w:ilvl="0">
      <w:start w:val="1"/>
      <w:numFmt w:val="decimal"/>
      <w:pStyle w:val="Numerada5"/>
      <w:lvlText w:val="%1."/>
      <w:lvlJc w:val="left"/>
      <w:pPr>
        <w:tabs>
          <w:tab w:val="num" w:pos="1492"/>
        </w:tabs>
        <w:ind w:left="1492" w:hanging="360"/>
      </w:pPr>
    </w:lvl>
  </w:abstractNum>
  <w:abstractNum w:abstractNumId="1">
    <w:nsid w:val="FFFFFF7D"/>
    <w:multiLevelType w:val="singleLevel"/>
    <w:tmpl w:val="65EC884E"/>
    <w:lvl w:ilvl="0">
      <w:start w:val="1"/>
      <w:numFmt w:val="decimal"/>
      <w:pStyle w:val="Numerada4"/>
      <w:lvlText w:val="%1."/>
      <w:lvlJc w:val="left"/>
      <w:pPr>
        <w:tabs>
          <w:tab w:val="num" w:pos="1209"/>
        </w:tabs>
        <w:ind w:left="1209" w:hanging="360"/>
      </w:pPr>
    </w:lvl>
  </w:abstractNum>
  <w:abstractNum w:abstractNumId="2">
    <w:nsid w:val="FFFFFF7E"/>
    <w:multiLevelType w:val="singleLevel"/>
    <w:tmpl w:val="408CBE96"/>
    <w:lvl w:ilvl="0">
      <w:start w:val="1"/>
      <w:numFmt w:val="decimal"/>
      <w:pStyle w:val="Numerada3"/>
      <w:lvlText w:val="%1."/>
      <w:lvlJc w:val="left"/>
      <w:pPr>
        <w:tabs>
          <w:tab w:val="num" w:pos="926"/>
        </w:tabs>
        <w:ind w:left="926" w:hanging="360"/>
      </w:pPr>
    </w:lvl>
  </w:abstractNum>
  <w:abstractNum w:abstractNumId="3">
    <w:nsid w:val="FFFFFF7F"/>
    <w:multiLevelType w:val="singleLevel"/>
    <w:tmpl w:val="CFC0B388"/>
    <w:lvl w:ilvl="0">
      <w:start w:val="1"/>
      <w:numFmt w:val="decimal"/>
      <w:pStyle w:val="Numerada2"/>
      <w:lvlText w:val="%1."/>
      <w:lvlJc w:val="left"/>
      <w:pPr>
        <w:tabs>
          <w:tab w:val="num" w:pos="643"/>
        </w:tabs>
        <w:ind w:left="643" w:hanging="360"/>
      </w:pPr>
    </w:lvl>
  </w:abstractNum>
  <w:abstractNum w:abstractNumId="4">
    <w:nsid w:val="FFFFFF80"/>
    <w:multiLevelType w:val="singleLevel"/>
    <w:tmpl w:val="CA34EB48"/>
    <w:lvl w:ilvl="0">
      <w:start w:val="1"/>
      <w:numFmt w:val="bullet"/>
      <w:pStyle w:val="Commarcadores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Commarcadores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Commarcadores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Commarcadores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Numerada"/>
      <w:lvlText w:val="%1."/>
      <w:lvlJc w:val="left"/>
      <w:pPr>
        <w:tabs>
          <w:tab w:val="num" w:pos="360"/>
        </w:tabs>
        <w:ind w:left="360" w:hanging="360"/>
      </w:pPr>
    </w:lvl>
  </w:abstractNum>
  <w:abstractNum w:abstractNumId="9">
    <w:nsid w:val="FFFFFF89"/>
    <w:multiLevelType w:val="singleLevel"/>
    <w:tmpl w:val="206ACE1A"/>
    <w:lvl w:ilvl="0">
      <w:start w:val="1"/>
      <w:numFmt w:val="bullet"/>
      <w:pStyle w:val="Commarcadores"/>
      <w:lvlText w:val=""/>
      <w:lvlJc w:val="left"/>
      <w:pPr>
        <w:tabs>
          <w:tab w:val="num" w:pos="360"/>
        </w:tabs>
        <w:ind w:left="360" w:hanging="360"/>
      </w:pPr>
      <w:rPr>
        <w:rFonts w:ascii="Symbol" w:hAnsi="Symbol" w:hint="default"/>
      </w:rPr>
    </w:lvl>
  </w:abstractNum>
  <w:abstractNum w:abstractNumId="10">
    <w:nsid w:val="2438217E"/>
    <w:multiLevelType w:val="multilevel"/>
    <w:tmpl w:val="4BEE5AFE"/>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asimples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 w:numId="23">
    <w:abstractNumId w:val="10"/>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3148D"/>
    <w:rsid w:val="00031EEC"/>
    <w:rsid w:val="00051566"/>
    <w:rsid w:val="000562A9"/>
    <w:rsid w:val="00062A9A"/>
    <w:rsid w:val="00065058"/>
    <w:rsid w:val="00086C39"/>
    <w:rsid w:val="000A03B2"/>
    <w:rsid w:val="000C6C45"/>
    <w:rsid w:val="000D0268"/>
    <w:rsid w:val="000D34BE"/>
    <w:rsid w:val="000E102F"/>
    <w:rsid w:val="000E36F1"/>
    <w:rsid w:val="000E3A73"/>
    <w:rsid w:val="000E414A"/>
    <w:rsid w:val="000F093C"/>
    <w:rsid w:val="000F787B"/>
    <w:rsid w:val="0012091F"/>
    <w:rsid w:val="00126BC2"/>
    <w:rsid w:val="001308B6"/>
    <w:rsid w:val="0013121F"/>
    <w:rsid w:val="00131FE6"/>
    <w:rsid w:val="0013263F"/>
    <w:rsid w:val="001331DF"/>
    <w:rsid w:val="00134DE4"/>
    <w:rsid w:val="0014034D"/>
    <w:rsid w:val="00144D16"/>
    <w:rsid w:val="00150E59"/>
    <w:rsid w:val="00152DE3"/>
    <w:rsid w:val="0016073A"/>
    <w:rsid w:val="00164CF9"/>
    <w:rsid w:val="001667A6"/>
    <w:rsid w:val="00184AD6"/>
    <w:rsid w:val="001A4AF7"/>
    <w:rsid w:val="001B0349"/>
    <w:rsid w:val="001B1E93"/>
    <w:rsid w:val="001B58AB"/>
    <w:rsid w:val="001B65C1"/>
    <w:rsid w:val="001C6744"/>
    <w:rsid w:val="001C684B"/>
    <w:rsid w:val="001D0CFB"/>
    <w:rsid w:val="001D21AF"/>
    <w:rsid w:val="001D53FC"/>
    <w:rsid w:val="001F42A5"/>
    <w:rsid w:val="001F7B9D"/>
    <w:rsid w:val="00201C93"/>
    <w:rsid w:val="002224B4"/>
    <w:rsid w:val="002447EF"/>
    <w:rsid w:val="00251550"/>
    <w:rsid w:val="00263B05"/>
    <w:rsid w:val="0027221A"/>
    <w:rsid w:val="00275B61"/>
    <w:rsid w:val="00280FAF"/>
    <w:rsid w:val="00282656"/>
    <w:rsid w:val="00296B83"/>
    <w:rsid w:val="002B4015"/>
    <w:rsid w:val="002B78CE"/>
    <w:rsid w:val="002C2FB6"/>
    <w:rsid w:val="002E5FA7"/>
    <w:rsid w:val="002F3309"/>
    <w:rsid w:val="003008CE"/>
    <w:rsid w:val="003009B7"/>
    <w:rsid w:val="00300E56"/>
    <w:rsid w:val="0030152C"/>
    <w:rsid w:val="0030469C"/>
    <w:rsid w:val="00321CA6"/>
    <w:rsid w:val="00323763"/>
    <w:rsid w:val="00323C5F"/>
    <w:rsid w:val="00334C09"/>
    <w:rsid w:val="003723D4"/>
    <w:rsid w:val="00381905"/>
    <w:rsid w:val="00384CC8"/>
    <w:rsid w:val="003871FD"/>
    <w:rsid w:val="003A1E30"/>
    <w:rsid w:val="003A2829"/>
    <w:rsid w:val="003A6FC6"/>
    <w:rsid w:val="003A7D1C"/>
    <w:rsid w:val="003B304B"/>
    <w:rsid w:val="003B3146"/>
    <w:rsid w:val="003F015E"/>
    <w:rsid w:val="00400414"/>
    <w:rsid w:val="0041446B"/>
    <w:rsid w:val="0044071E"/>
    <w:rsid w:val="0044329C"/>
    <w:rsid w:val="00453E24"/>
    <w:rsid w:val="00455EF0"/>
    <w:rsid w:val="00457456"/>
    <w:rsid w:val="004577FE"/>
    <w:rsid w:val="00457B9C"/>
    <w:rsid w:val="0046164A"/>
    <w:rsid w:val="004628D2"/>
    <w:rsid w:val="00462DCD"/>
    <w:rsid w:val="004648AD"/>
    <w:rsid w:val="004703A9"/>
    <w:rsid w:val="004760DE"/>
    <w:rsid w:val="004763D7"/>
    <w:rsid w:val="004A004E"/>
    <w:rsid w:val="004A24CF"/>
    <w:rsid w:val="004C3D1D"/>
    <w:rsid w:val="004C3D84"/>
    <w:rsid w:val="004C7913"/>
    <w:rsid w:val="004E4DD6"/>
    <w:rsid w:val="004F5E36"/>
    <w:rsid w:val="00507B47"/>
    <w:rsid w:val="00507BEF"/>
    <w:rsid w:val="00507CC9"/>
    <w:rsid w:val="005119A5"/>
    <w:rsid w:val="00516AAC"/>
    <w:rsid w:val="005278B7"/>
    <w:rsid w:val="00532016"/>
    <w:rsid w:val="005346C8"/>
    <w:rsid w:val="00543E7D"/>
    <w:rsid w:val="00547A68"/>
    <w:rsid w:val="005531C9"/>
    <w:rsid w:val="00564622"/>
    <w:rsid w:val="00570C43"/>
    <w:rsid w:val="005B2110"/>
    <w:rsid w:val="005B4813"/>
    <w:rsid w:val="005B61E6"/>
    <w:rsid w:val="005C77E1"/>
    <w:rsid w:val="005D668A"/>
    <w:rsid w:val="005D6A2F"/>
    <w:rsid w:val="005E1A82"/>
    <w:rsid w:val="005E794C"/>
    <w:rsid w:val="005F0A28"/>
    <w:rsid w:val="005F0E5E"/>
    <w:rsid w:val="00600535"/>
    <w:rsid w:val="00610CD6"/>
    <w:rsid w:val="00620DEE"/>
    <w:rsid w:val="00621F92"/>
    <w:rsid w:val="0062280A"/>
    <w:rsid w:val="00625639"/>
    <w:rsid w:val="00631B33"/>
    <w:rsid w:val="0064184D"/>
    <w:rsid w:val="006422CC"/>
    <w:rsid w:val="00660E3E"/>
    <w:rsid w:val="00662E74"/>
    <w:rsid w:val="00680C23"/>
    <w:rsid w:val="00693766"/>
    <w:rsid w:val="006A3281"/>
    <w:rsid w:val="006B4888"/>
    <w:rsid w:val="006C2E45"/>
    <w:rsid w:val="006C359C"/>
    <w:rsid w:val="006C5579"/>
    <w:rsid w:val="006D6E8B"/>
    <w:rsid w:val="006E737D"/>
    <w:rsid w:val="00713973"/>
    <w:rsid w:val="00720A24"/>
    <w:rsid w:val="00732386"/>
    <w:rsid w:val="0073514D"/>
    <w:rsid w:val="007447F3"/>
    <w:rsid w:val="0075499F"/>
    <w:rsid w:val="007661C8"/>
    <w:rsid w:val="0077098D"/>
    <w:rsid w:val="007931FA"/>
    <w:rsid w:val="007A07AB"/>
    <w:rsid w:val="007A4861"/>
    <w:rsid w:val="007A7BBA"/>
    <w:rsid w:val="007B0C50"/>
    <w:rsid w:val="007B48F9"/>
    <w:rsid w:val="007C1A43"/>
    <w:rsid w:val="007D0951"/>
    <w:rsid w:val="0080013E"/>
    <w:rsid w:val="00813288"/>
    <w:rsid w:val="008168FC"/>
    <w:rsid w:val="00830996"/>
    <w:rsid w:val="008345F1"/>
    <w:rsid w:val="00865B07"/>
    <w:rsid w:val="008667EA"/>
    <w:rsid w:val="0087637F"/>
    <w:rsid w:val="00892AD5"/>
    <w:rsid w:val="008A1512"/>
    <w:rsid w:val="008B7C03"/>
    <w:rsid w:val="008D32B9"/>
    <w:rsid w:val="008D433B"/>
    <w:rsid w:val="008D4A16"/>
    <w:rsid w:val="008E1FC5"/>
    <w:rsid w:val="008E566E"/>
    <w:rsid w:val="0090161A"/>
    <w:rsid w:val="00901EB6"/>
    <w:rsid w:val="00904C62"/>
    <w:rsid w:val="00922BA8"/>
    <w:rsid w:val="00924DAC"/>
    <w:rsid w:val="00927058"/>
    <w:rsid w:val="00942750"/>
    <w:rsid w:val="009450CE"/>
    <w:rsid w:val="009459BB"/>
    <w:rsid w:val="00947179"/>
    <w:rsid w:val="0095164B"/>
    <w:rsid w:val="00954090"/>
    <w:rsid w:val="009573E7"/>
    <w:rsid w:val="00963E05"/>
    <w:rsid w:val="00964A45"/>
    <w:rsid w:val="00967843"/>
    <w:rsid w:val="00967D54"/>
    <w:rsid w:val="00971028"/>
    <w:rsid w:val="00993B84"/>
    <w:rsid w:val="00996483"/>
    <w:rsid w:val="00996F5A"/>
    <w:rsid w:val="009B041A"/>
    <w:rsid w:val="009C37C3"/>
    <w:rsid w:val="009C7C86"/>
    <w:rsid w:val="009D2FF7"/>
    <w:rsid w:val="009E7884"/>
    <w:rsid w:val="009E788A"/>
    <w:rsid w:val="009F0E08"/>
    <w:rsid w:val="00A1763D"/>
    <w:rsid w:val="00A17CEC"/>
    <w:rsid w:val="00A27EF0"/>
    <w:rsid w:val="00A42361"/>
    <w:rsid w:val="00A50B20"/>
    <w:rsid w:val="00A51390"/>
    <w:rsid w:val="00A60D13"/>
    <w:rsid w:val="00A7223D"/>
    <w:rsid w:val="00A72745"/>
    <w:rsid w:val="00A76EFC"/>
    <w:rsid w:val="00A87D50"/>
    <w:rsid w:val="00A91010"/>
    <w:rsid w:val="00A97F29"/>
    <w:rsid w:val="00AA702E"/>
    <w:rsid w:val="00AA7D26"/>
    <w:rsid w:val="00AB0964"/>
    <w:rsid w:val="00AB5011"/>
    <w:rsid w:val="00AC7368"/>
    <w:rsid w:val="00AD16B9"/>
    <w:rsid w:val="00AE377D"/>
    <w:rsid w:val="00AF0EBA"/>
    <w:rsid w:val="00B02C8A"/>
    <w:rsid w:val="00B17FBD"/>
    <w:rsid w:val="00B315A6"/>
    <w:rsid w:val="00B31813"/>
    <w:rsid w:val="00B33365"/>
    <w:rsid w:val="00B57B36"/>
    <w:rsid w:val="00B57E6F"/>
    <w:rsid w:val="00B8686D"/>
    <w:rsid w:val="00B93F69"/>
    <w:rsid w:val="00BB1DDC"/>
    <w:rsid w:val="00BC30C9"/>
    <w:rsid w:val="00BD077D"/>
    <w:rsid w:val="00BE3E58"/>
    <w:rsid w:val="00C01616"/>
    <w:rsid w:val="00C0162B"/>
    <w:rsid w:val="00C068ED"/>
    <w:rsid w:val="00C22E0C"/>
    <w:rsid w:val="00C345B1"/>
    <w:rsid w:val="00C40142"/>
    <w:rsid w:val="00C52C3C"/>
    <w:rsid w:val="00C52F3F"/>
    <w:rsid w:val="00C555B5"/>
    <w:rsid w:val="00C57182"/>
    <w:rsid w:val="00C57863"/>
    <w:rsid w:val="00C640AF"/>
    <w:rsid w:val="00C655FD"/>
    <w:rsid w:val="00C70D2B"/>
    <w:rsid w:val="00C75407"/>
    <w:rsid w:val="00C870A8"/>
    <w:rsid w:val="00C94434"/>
    <w:rsid w:val="00CA0D4A"/>
    <w:rsid w:val="00CA0D75"/>
    <w:rsid w:val="00CA1C95"/>
    <w:rsid w:val="00CA5A9C"/>
    <w:rsid w:val="00CC4C20"/>
    <w:rsid w:val="00CD3517"/>
    <w:rsid w:val="00CD5FE2"/>
    <w:rsid w:val="00CE7C68"/>
    <w:rsid w:val="00D02B4C"/>
    <w:rsid w:val="00D040C4"/>
    <w:rsid w:val="00D20AD1"/>
    <w:rsid w:val="00D46B7E"/>
    <w:rsid w:val="00D57C84"/>
    <w:rsid w:val="00D6057D"/>
    <w:rsid w:val="00D648EC"/>
    <w:rsid w:val="00D71640"/>
    <w:rsid w:val="00D836C5"/>
    <w:rsid w:val="00D84576"/>
    <w:rsid w:val="00DA1399"/>
    <w:rsid w:val="00DA24C6"/>
    <w:rsid w:val="00DA4D7B"/>
    <w:rsid w:val="00DD271C"/>
    <w:rsid w:val="00DE264A"/>
    <w:rsid w:val="00DF5072"/>
    <w:rsid w:val="00E02D18"/>
    <w:rsid w:val="00E041E7"/>
    <w:rsid w:val="00E23CA1"/>
    <w:rsid w:val="00E33DD7"/>
    <w:rsid w:val="00E3794D"/>
    <w:rsid w:val="00E409A8"/>
    <w:rsid w:val="00E462AB"/>
    <w:rsid w:val="00E50C12"/>
    <w:rsid w:val="00E65B91"/>
    <w:rsid w:val="00E7209D"/>
    <w:rsid w:val="00E72EAD"/>
    <w:rsid w:val="00E77223"/>
    <w:rsid w:val="00E8528B"/>
    <w:rsid w:val="00E85B94"/>
    <w:rsid w:val="00E978D0"/>
    <w:rsid w:val="00EA4613"/>
    <w:rsid w:val="00EA7F91"/>
    <w:rsid w:val="00EB1523"/>
    <w:rsid w:val="00EC0E49"/>
    <w:rsid w:val="00EC101F"/>
    <w:rsid w:val="00EC1D9F"/>
    <w:rsid w:val="00EE0131"/>
    <w:rsid w:val="00EE17B0"/>
    <w:rsid w:val="00EF06D9"/>
    <w:rsid w:val="00F3049E"/>
    <w:rsid w:val="00F30C64"/>
    <w:rsid w:val="00F32BA2"/>
    <w:rsid w:val="00F32CDB"/>
    <w:rsid w:val="00F565FE"/>
    <w:rsid w:val="00F63A70"/>
    <w:rsid w:val="00F63D8C"/>
    <w:rsid w:val="00F7534E"/>
    <w:rsid w:val="00F93EDF"/>
    <w:rsid w:val="00FA1802"/>
    <w:rsid w:val="00FA21D0"/>
    <w:rsid w:val="00FA5F5F"/>
    <w:rsid w:val="00FB4478"/>
    <w:rsid w:val="00FB730C"/>
    <w:rsid w:val="00FC2695"/>
    <w:rsid w:val="00FC3E03"/>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h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E3794D"/>
    <w:pPr>
      <w:keepNext/>
      <w:numPr>
        <w:ilvl w:val="2"/>
        <w:numId w:val="1"/>
      </w:numPr>
      <w:suppressAutoHyphens/>
      <w:spacing w:before="120" w:after="120" w:line="240" w:lineRule="auto"/>
      <w:jc w:val="both"/>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simples1">
    <w:name w:val="Table Simple 1"/>
    <w:basedOn w:val="Tabe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E3794D"/>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rio">
    <w:name w:val="annotation reference"/>
    <w:basedOn w:val="Fontepargpadro"/>
    <w:uiPriority w:val="99"/>
    <w:semiHidden/>
    <w:unhideWhenUsed/>
    <w:rsid w:val="004577FE"/>
    <w:rPr>
      <w:sz w:val="16"/>
      <w:szCs w:val="16"/>
    </w:rPr>
  </w:style>
  <w:style w:type="paragraph" w:styleId="Textodebalo">
    <w:name w:val="Balloon Text"/>
    <w:basedOn w:val="Normal"/>
    <w:link w:val="TextodebaloChar"/>
    <w:uiPriority w:val="99"/>
    <w:semiHidden/>
    <w:unhideWhenUsed/>
    <w:rsid w:val="000D34B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texto2">
    <w:name w:val="Body Text 2"/>
    <w:basedOn w:val="Normal"/>
    <w:link w:val="Corpodetexto2Char"/>
    <w:uiPriority w:val="99"/>
    <w:semiHidden/>
    <w:unhideWhenUsed/>
    <w:rsid w:val="0003148D"/>
    <w:pPr>
      <w:spacing w:after="120" w:line="480" w:lineRule="auto"/>
    </w:pPr>
  </w:style>
  <w:style w:type="character" w:customStyle="1" w:styleId="Corpodetexto2Char">
    <w:name w:val="Corpo de texto 2 Char"/>
    <w:basedOn w:val="Fontepargpadro"/>
    <w:link w:val="Corpodetexto2"/>
    <w:uiPriority w:val="99"/>
    <w:semiHidden/>
    <w:rsid w:val="0003148D"/>
  </w:style>
  <w:style w:type="paragraph" w:styleId="Corpodetexto3">
    <w:name w:val="Body Text 3"/>
    <w:basedOn w:val="Normal"/>
    <w:link w:val="Corpodetexto3Char"/>
    <w:uiPriority w:val="99"/>
    <w:semiHidden/>
    <w:unhideWhenUsed/>
    <w:rsid w:val="0003148D"/>
    <w:pPr>
      <w:spacing w:after="120"/>
    </w:pPr>
    <w:rPr>
      <w:sz w:val="16"/>
      <w:szCs w:val="16"/>
    </w:rPr>
  </w:style>
  <w:style w:type="character" w:customStyle="1" w:styleId="Corpodetexto3Char">
    <w:name w:val="Corpo de texto 3 Char"/>
    <w:basedOn w:val="Fontepargpadro"/>
    <w:link w:val="Corpodetexto3"/>
    <w:uiPriority w:val="99"/>
    <w:semiHidden/>
    <w:rsid w:val="0003148D"/>
    <w:rPr>
      <w:sz w:val="16"/>
      <w:szCs w:val="16"/>
    </w:rPr>
  </w:style>
  <w:style w:type="paragraph" w:styleId="Corpodetexto">
    <w:name w:val="Body Text"/>
    <w:basedOn w:val="Normal"/>
    <w:link w:val="CorpodetextoChar"/>
    <w:uiPriority w:val="99"/>
    <w:semiHidden/>
    <w:unhideWhenUsed/>
    <w:rsid w:val="0003148D"/>
    <w:pPr>
      <w:spacing w:after="120"/>
    </w:pPr>
  </w:style>
  <w:style w:type="character" w:customStyle="1" w:styleId="CorpodetextoChar">
    <w:name w:val="Corpo de texto Char"/>
    <w:basedOn w:val="Fontepargpadro"/>
    <w:link w:val="Corpodetexto"/>
    <w:uiPriority w:val="99"/>
    <w:semiHidden/>
    <w:rsid w:val="0003148D"/>
  </w:style>
  <w:style w:type="paragraph" w:styleId="Data">
    <w:name w:val="Date"/>
    <w:basedOn w:val="Normal"/>
    <w:next w:val="Normal"/>
    <w:link w:val="DataChar"/>
    <w:uiPriority w:val="99"/>
    <w:semiHidden/>
    <w:unhideWhenUsed/>
    <w:rsid w:val="0003148D"/>
  </w:style>
  <w:style w:type="character" w:customStyle="1" w:styleId="DataChar">
    <w:name w:val="Data Char"/>
    <w:basedOn w:val="Fontepargpadro"/>
    <w:link w:val="Data"/>
    <w:uiPriority w:val="99"/>
    <w:semiHidden/>
    <w:rsid w:val="0003148D"/>
  </w:style>
  <w:style w:type="paragraph" w:styleId="Legenda">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Listadecontinuao">
    <w:name w:val="List Continue"/>
    <w:basedOn w:val="Normal"/>
    <w:uiPriority w:val="99"/>
    <w:semiHidden/>
    <w:unhideWhenUsed/>
    <w:rsid w:val="0003148D"/>
    <w:pPr>
      <w:spacing w:after="120"/>
      <w:ind w:left="283"/>
      <w:contextualSpacing/>
    </w:pPr>
  </w:style>
  <w:style w:type="paragraph" w:styleId="Listadecontinuao2">
    <w:name w:val="List Continue 2"/>
    <w:basedOn w:val="Normal"/>
    <w:uiPriority w:val="99"/>
    <w:semiHidden/>
    <w:unhideWhenUsed/>
    <w:rsid w:val="0003148D"/>
    <w:pPr>
      <w:spacing w:after="120"/>
      <w:ind w:left="566"/>
      <w:contextualSpacing/>
    </w:pPr>
  </w:style>
  <w:style w:type="paragraph" w:styleId="Listadecontinuao3">
    <w:name w:val="List Continue 3"/>
    <w:basedOn w:val="Normal"/>
    <w:uiPriority w:val="99"/>
    <w:semiHidden/>
    <w:unhideWhenUsed/>
    <w:rsid w:val="0003148D"/>
    <w:pPr>
      <w:spacing w:after="120"/>
      <w:ind w:left="849"/>
      <w:contextualSpacing/>
    </w:pPr>
  </w:style>
  <w:style w:type="paragraph" w:styleId="Listadecontinuao4">
    <w:name w:val="List Continue 4"/>
    <w:basedOn w:val="Normal"/>
    <w:uiPriority w:val="99"/>
    <w:semiHidden/>
    <w:unhideWhenUsed/>
    <w:rsid w:val="0003148D"/>
    <w:pPr>
      <w:spacing w:after="120"/>
      <w:ind w:left="1132"/>
      <w:contextualSpacing/>
    </w:pPr>
  </w:style>
  <w:style w:type="paragraph" w:styleId="Listadecontinuao5">
    <w:name w:val="List Continue 5"/>
    <w:basedOn w:val="Normal"/>
    <w:uiPriority w:val="99"/>
    <w:semiHidden/>
    <w:unhideWhenUsed/>
    <w:rsid w:val="0003148D"/>
    <w:pPr>
      <w:spacing w:after="120"/>
      <w:ind w:left="1415"/>
      <w:contextualSpacing/>
    </w:pPr>
  </w:style>
  <w:style w:type="paragraph" w:styleId="Assinatura">
    <w:name w:val="Signature"/>
    <w:basedOn w:val="Normal"/>
    <w:link w:val="AssinaturaChar"/>
    <w:uiPriority w:val="99"/>
    <w:semiHidden/>
    <w:unhideWhenUsed/>
    <w:rsid w:val="0003148D"/>
    <w:pPr>
      <w:spacing w:line="240" w:lineRule="auto"/>
      <w:ind w:left="4252"/>
    </w:pPr>
  </w:style>
  <w:style w:type="character" w:customStyle="1" w:styleId="AssinaturaChar">
    <w:name w:val="Assinatura Char"/>
    <w:basedOn w:val="Fontepargpadro"/>
    <w:link w:val="Assinatura"/>
    <w:uiPriority w:val="99"/>
    <w:semiHidden/>
    <w:rsid w:val="0003148D"/>
  </w:style>
  <w:style w:type="paragraph" w:styleId="AssinaturadeEmail">
    <w:name w:val="E-mail Signature"/>
    <w:basedOn w:val="Normal"/>
    <w:link w:val="AssinaturadeEmailChar"/>
    <w:uiPriority w:val="99"/>
    <w:semiHidden/>
    <w:unhideWhenUsed/>
    <w:rsid w:val="0003148D"/>
    <w:pPr>
      <w:spacing w:line="240" w:lineRule="auto"/>
    </w:pPr>
  </w:style>
  <w:style w:type="character" w:customStyle="1" w:styleId="AssinaturadeEmailChar">
    <w:name w:val="Assinatura de Email Char"/>
    <w:basedOn w:val="Fontepargpadro"/>
    <w:link w:val="AssinaturadeEmail"/>
    <w:uiPriority w:val="99"/>
    <w:semiHidden/>
    <w:rsid w:val="0003148D"/>
  </w:style>
  <w:style w:type="paragraph" w:styleId="Saudao">
    <w:name w:val="Salutation"/>
    <w:basedOn w:val="Normal"/>
    <w:next w:val="Normal"/>
    <w:link w:val="SaudaoChar"/>
    <w:uiPriority w:val="99"/>
    <w:semiHidden/>
    <w:unhideWhenUsed/>
    <w:rsid w:val="0003148D"/>
  </w:style>
  <w:style w:type="character" w:customStyle="1" w:styleId="SaudaoChar">
    <w:name w:val="Saudação Char"/>
    <w:basedOn w:val="Fontepargpadro"/>
    <w:link w:val="Saudao"/>
    <w:uiPriority w:val="99"/>
    <w:semiHidden/>
    <w:rsid w:val="0003148D"/>
  </w:style>
  <w:style w:type="paragraph" w:styleId="Encerramento">
    <w:name w:val="Closing"/>
    <w:basedOn w:val="Normal"/>
    <w:link w:val="EncerramentoChar"/>
    <w:uiPriority w:val="99"/>
    <w:semiHidden/>
    <w:unhideWhenUsed/>
    <w:rsid w:val="0003148D"/>
    <w:pPr>
      <w:spacing w:line="240" w:lineRule="auto"/>
      <w:ind w:left="4252"/>
    </w:pPr>
  </w:style>
  <w:style w:type="character" w:customStyle="1" w:styleId="EncerramentoChar">
    <w:name w:val="Encerramento Char"/>
    <w:basedOn w:val="Fontepargpadro"/>
    <w:link w:val="Encerramento"/>
    <w:uiPriority w:val="99"/>
    <w:semiHidden/>
    <w:rsid w:val="0003148D"/>
  </w:style>
  <w:style w:type="paragraph" w:styleId="Remissivo1">
    <w:name w:val="index 1"/>
    <w:basedOn w:val="Normal"/>
    <w:next w:val="Normal"/>
    <w:autoRedefine/>
    <w:uiPriority w:val="99"/>
    <w:semiHidden/>
    <w:unhideWhenUsed/>
    <w:rsid w:val="0003148D"/>
    <w:pPr>
      <w:spacing w:line="240" w:lineRule="auto"/>
      <w:ind w:left="220" w:hanging="220"/>
    </w:pPr>
  </w:style>
  <w:style w:type="paragraph" w:styleId="Remissivo2">
    <w:name w:val="index 2"/>
    <w:basedOn w:val="Normal"/>
    <w:next w:val="Normal"/>
    <w:autoRedefine/>
    <w:uiPriority w:val="99"/>
    <w:semiHidden/>
    <w:unhideWhenUsed/>
    <w:rsid w:val="0003148D"/>
    <w:pPr>
      <w:spacing w:line="240" w:lineRule="auto"/>
      <w:ind w:left="440" w:hanging="220"/>
    </w:pPr>
  </w:style>
  <w:style w:type="paragraph" w:styleId="Remissivo3">
    <w:name w:val="index 3"/>
    <w:basedOn w:val="Normal"/>
    <w:next w:val="Normal"/>
    <w:autoRedefine/>
    <w:uiPriority w:val="99"/>
    <w:semiHidden/>
    <w:unhideWhenUsed/>
    <w:rsid w:val="0003148D"/>
    <w:pPr>
      <w:spacing w:line="240" w:lineRule="auto"/>
      <w:ind w:left="660" w:hanging="220"/>
    </w:pPr>
  </w:style>
  <w:style w:type="paragraph" w:styleId="Remissivo4">
    <w:name w:val="index 4"/>
    <w:basedOn w:val="Normal"/>
    <w:next w:val="Normal"/>
    <w:autoRedefine/>
    <w:uiPriority w:val="99"/>
    <w:semiHidden/>
    <w:unhideWhenUsed/>
    <w:rsid w:val="0003148D"/>
    <w:pPr>
      <w:spacing w:line="240" w:lineRule="auto"/>
      <w:ind w:left="880" w:hanging="220"/>
    </w:pPr>
  </w:style>
  <w:style w:type="paragraph" w:styleId="Remissivo5">
    <w:name w:val="index 5"/>
    <w:basedOn w:val="Normal"/>
    <w:next w:val="Normal"/>
    <w:autoRedefine/>
    <w:uiPriority w:val="99"/>
    <w:semiHidden/>
    <w:unhideWhenUsed/>
    <w:rsid w:val="0003148D"/>
    <w:pPr>
      <w:spacing w:line="240" w:lineRule="auto"/>
      <w:ind w:left="1100" w:hanging="220"/>
    </w:pPr>
  </w:style>
  <w:style w:type="paragraph" w:styleId="Remissivo6">
    <w:name w:val="index 6"/>
    <w:basedOn w:val="Normal"/>
    <w:next w:val="Normal"/>
    <w:autoRedefine/>
    <w:uiPriority w:val="99"/>
    <w:semiHidden/>
    <w:unhideWhenUsed/>
    <w:rsid w:val="0003148D"/>
    <w:pPr>
      <w:spacing w:line="240" w:lineRule="auto"/>
      <w:ind w:left="1320" w:hanging="220"/>
    </w:pPr>
  </w:style>
  <w:style w:type="paragraph" w:styleId="Remissivo7">
    <w:name w:val="index 7"/>
    <w:basedOn w:val="Normal"/>
    <w:next w:val="Normal"/>
    <w:autoRedefine/>
    <w:uiPriority w:val="99"/>
    <w:semiHidden/>
    <w:unhideWhenUsed/>
    <w:rsid w:val="0003148D"/>
    <w:pPr>
      <w:spacing w:line="240" w:lineRule="auto"/>
      <w:ind w:left="1540" w:hanging="220"/>
    </w:pPr>
  </w:style>
  <w:style w:type="paragraph" w:styleId="Remissivo8">
    <w:name w:val="index 8"/>
    <w:basedOn w:val="Normal"/>
    <w:next w:val="Normal"/>
    <w:autoRedefine/>
    <w:uiPriority w:val="99"/>
    <w:semiHidden/>
    <w:unhideWhenUsed/>
    <w:rsid w:val="0003148D"/>
    <w:pPr>
      <w:spacing w:line="240" w:lineRule="auto"/>
      <w:ind w:left="1760" w:hanging="220"/>
    </w:pPr>
  </w:style>
  <w:style w:type="paragraph" w:styleId="Remissivo9">
    <w:name w:val="index 9"/>
    <w:basedOn w:val="Normal"/>
    <w:next w:val="Normal"/>
    <w:autoRedefine/>
    <w:uiPriority w:val="99"/>
    <w:semiHidden/>
    <w:unhideWhenUsed/>
    <w:rsid w:val="0003148D"/>
    <w:pPr>
      <w:spacing w:line="240" w:lineRule="auto"/>
      <w:ind w:left="1980" w:hanging="220"/>
    </w:pPr>
  </w:style>
  <w:style w:type="paragraph" w:styleId="ndicedeilustraes">
    <w:name w:val="table of figures"/>
    <w:basedOn w:val="Normal"/>
    <w:next w:val="Normal"/>
    <w:uiPriority w:val="99"/>
    <w:semiHidden/>
    <w:unhideWhenUsed/>
    <w:rsid w:val="0003148D"/>
  </w:style>
  <w:style w:type="paragraph" w:styleId="ndicedeautoridades">
    <w:name w:val="table of authorities"/>
    <w:basedOn w:val="Normal"/>
    <w:next w:val="Normal"/>
    <w:uiPriority w:val="99"/>
    <w:semiHidden/>
    <w:unhideWhenUsed/>
    <w:rsid w:val="0003148D"/>
    <w:pPr>
      <w:ind w:left="220" w:hanging="220"/>
    </w:pPr>
  </w:style>
  <w:style w:type="paragraph" w:styleId="Destinatrio">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dereoHTML">
    <w:name w:val="HTML Address"/>
    <w:basedOn w:val="Normal"/>
    <w:link w:val="EndereoHTMLChar"/>
    <w:uiPriority w:val="99"/>
    <w:semiHidden/>
    <w:unhideWhenUsed/>
    <w:rsid w:val="0003148D"/>
    <w:pPr>
      <w:spacing w:line="240" w:lineRule="auto"/>
    </w:pPr>
    <w:rPr>
      <w:i/>
      <w:iCs/>
    </w:rPr>
  </w:style>
  <w:style w:type="character" w:customStyle="1" w:styleId="EndereoHTMLChar">
    <w:name w:val="Endereço HTML Char"/>
    <w:basedOn w:val="Fontepargpadro"/>
    <w:link w:val="EndereoHTML"/>
    <w:uiPriority w:val="99"/>
    <w:semiHidden/>
    <w:rsid w:val="0003148D"/>
    <w:rPr>
      <w:i/>
      <w:iCs/>
    </w:rPr>
  </w:style>
  <w:style w:type="paragraph" w:styleId="Remetent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Cabealhodamensagem">
    <w:name w:val="Message Header"/>
    <w:basedOn w:val="Normal"/>
    <w:link w:val="Cabealhodamensagem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CabealhodamensagemChar">
    <w:name w:val="Cabeçalho da mensagem Char"/>
    <w:basedOn w:val="Fontepargpadro"/>
    <w:link w:val="Cabealhodamensagem"/>
    <w:uiPriority w:val="99"/>
    <w:semiHidden/>
    <w:rsid w:val="0003148D"/>
    <w:rPr>
      <w:rFonts w:asciiTheme="majorHAnsi" w:eastAsiaTheme="majorEastAsia" w:hAnsiTheme="majorHAnsi" w:cstheme="majorBidi"/>
      <w:sz w:val="24"/>
      <w:szCs w:val="24"/>
      <w:shd w:val="pct20" w:color="auto" w:fill="auto"/>
    </w:rPr>
  </w:style>
  <w:style w:type="paragraph" w:styleId="Ttulodanota">
    <w:name w:val="Note Heading"/>
    <w:basedOn w:val="Normal"/>
    <w:next w:val="Normal"/>
    <w:link w:val="TtulodanotaChar"/>
    <w:uiPriority w:val="99"/>
    <w:semiHidden/>
    <w:unhideWhenUsed/>
    <w:rsid w:val="0003148D"/>
    <w:pPr>
      <w:spacing w:line="240" w:lineRule="auto"/>
    </w:pPr>
  </w:style>
  <w:style w:type="character" w:customStyle="1" w:styleId="TtulodanotaChar">
    <w:name w:val="Título da nota Char"/>
    <w:basedOn w:val="Fontepargpadro"/>
    <w:link w:val="Ttulodanota"/>
    <w:uiPriority w:val="99"/>
    <w:semiHidden/>
    <w:rsid w:val="0003148D"/>
  </w:style>
  <w:style w:type="paragraph" w:styleId="MapadoDocumento">
    <w:name w:val="Document Map"/>
    <w:basedOn w:val="Normal"/>
    <w:link w:val="MapadoDocumentoChar"/>
    <w:uiPriority w:val="99"/>
    <w:semiHidden/>
    <w:unhideWhenUsed/>
    <w:rsid w:val="0003148D"/>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Numerada">
    <w:name w:val="List Number"/>
    <w:basedOn w:val="Normal"/>
    <w:uiPriority w:val="99"/>
    <w:semiHidden/>
    <w:unhideWhenUsed/>
    <w:rsid w:val="0003148D"/>
    <w:pPr>
      <w:numPr>
        <w:numId w:val="2"/>
      </w:numPr>
      <w:contextualSpacing/>
    </w:pPr>
  </w:style>
  <w:style w:type="paragraph" w:styleId="Numerada2">
    <w:name w:val="List Number 2"/>
    <w:basedOn w:val="Normal"/>
    <w:uiPriority w:val="99"/>
    <w:semiHidden/>
    <w:unhideWhenUsed/>
    <w:rsid w:val="0003148D"/>
    <w:pPr>
      <w:numPr>
        <w:numId w:val="3"/>
      </w:numPr>
      <w:contextualSpacing/>
    </w:pPr>
  </w:style>
  <w:style w:type="paragraph" w:styleId="Numerada3">
    <w:name w:val="List Number 3"/>
    <w:basedOn w:val="Normal"/>
    <w:uiPriority w:val="99"/>
    <w:semiHidden/>
    <w:unhideWhenUsed/>
    <w:rsid w:val="0003148D"/>
    <w:pPr>
      <w:numPr>
        <w:numId w:val="4"/>
      </w:numPr>
      <w:contextualSpacing/>
    </w:pPr>
  </w:style>
  <w:style w:type="paragraph" w:styleId="Numerada4">
    <w:name w:val="List Number 4"/>
    <w:basedOn w:val="Normal"/>
    <w:uiPriority w:val="99"/>
    <w:semiHidden/>
    <w:unhideWhenUsed/>
    <w:rsid w:val="0003148D"/>
    <w:pPr>
      <w:numPr>
        <w:numId w:val="5"/>
      </w:numPr>
      <w:contextualSpacing/>
    </w:pPr>
  </w:style>
  <w:style w:type="paragraph" w:styleId="Numerada5">
    <w:name w:val="List Number 5"/>
    <w:basedOn w:val="Normal"/>
    <w:uiPriority w:val="99"/>
    <w:semiHidden/>
    <w:unhideWhenUsed/>
    <w:rsid w:val="0003148D"/>
    <w:pPr>
      <w:numPr>
        <w:numId w:val="6"/>
      </w:numPr>
      <w:contextualSpacing/>
    </w:pPr>
  </w:style>
  <w:style w:type="paragraph" w:styleId="Pr-formataoHTML">
    <w:name w:val="HTML Preformatted"/>
    <w:basedOn w:val="Normal"/>
    <w:link w:val="Pr-formataoHTMLChar"/>
    <w:uiPriority w:val="99"/>
    <w:semiHidden/>
    <w:unhideWhenUsed/>
    <w:rsid w:val="0003148D"/>
    <w:pPr>
      <w:spacing w:line="240" w:lineRule="auto"/>
    </w:pPr>
    <w:rPr>
      <w:rFonts w:ascii="Consolas" w:hAnsi="Consolas" w:cs="Consolas"/>
    </w:rPr>
  </w:style>
  <w:style w:type="character" w:customStyle="1" w:styleId="Pr-formataoHTMLChar">
    <w:name w:val="Pré-formatação HTML Char"/>
    <w:basedOn w:val="Fontepargpadro"/>
    <w:link w:val="Pr-formataoHTML"/>
    <w:uiPriority w:val="99"/>
    <w:semiHidden/>
    <w:rsid w:val="0003148D"/>
    <w:rPr>
      <w:rFonts w:ascii="Consolas" w:hAnsi="Consolas" w:cs="Consolas"/>
      <w:sz w:val="20"/>
      <w:szCs w:val="20"/>
    </w:rPr>
  </w:style>
  <w:style w:type="paragraph" w:styleId="Primeirorecuodecorpodetexto">
    <w:name w:val="Body Text First Indent"/>
    <w:basedOn w:val="Corpodetexto"/>
    <w:link w:val="PrimeirorecuodecorpodetextoChar"/>
    <w:uiPriority w:val="99"/>
    <w:semiHidden/>
    <w:unhideWhenUsed/>
    <w:rsid w:val="0003148D"/>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03148D"/>
  </w:style>
  <w:style w:type="paragraph" w:styleId="Recuodecorpodetexto">
    <w:name w:val="Body Text Indent"/>
    <w:basedOn w:val="Normal"/>
    <w:link w:val="RecuodecorpodetextoChar"/>
    <w:uiPriority w:val="99"/>
    <w:semiHidden/>
    <w:unhideWhenUsed/>
    <w:rsid w:val="0003148D"/>
    <w:pPr>
      <w:spacing w:after="120"/>
      <w:ind w:left="283"/>
    </w:pPr>
  </w:style>
  <w:style w:type="character" w:customStyle="1" w:styleId="RecuodecorpodetextoChar">
    <w:name w:val="Recuo de corpo de texto Char"/>
    <w:basedOn w:val="Fontepargpadro"/>
    <w:link w:val="Recuodecorpodetexto"/>
    <w:uiPriority w:val="99"/>
    <w:semiHidden/>
    <w:rsid w:val="0003148D"/>
  </w:style>
  <w:style w:type="paragraph" w:styleId="Primeirorecuodecorpodetexto2">
    <w:name w:val="Body Text First Indent 2"/>
    <w:basedOn w:val="Recuodecorpodetexto"/>
    <w:link w:val="Primeirorecuodecorpodetexto2Char"/>
    <w:uiPriority w:val="99"/>
    <w:semiHidden/>
    <w:unhideWhenUsed/>
    <w:rsid w:val="0003148D"/>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semiHidden/>
    <w:rsid w:val="0003148D"/>
  </w:style>
  <w:style w:type="paragraph" w:styleId="Commarcadores">
    <w:name w:val="List Bullet"/>
    <w:basedOn w:val="Normal"/>
    <w:uiPriority w:val="99"/>
    <w:semiHidden/>
    <w:unhideWhenUsed/>
    <w:rsid w:val="0003148D"/>
    <w:pPr>
      <w:numPr>
        <w:numId w:val="7"/>
      </w:numPr>
      <w:contextualSpacing/>
    </w:pPr>
  </w:style>
  <w:style w:type="paragraph" w:styleId="Commarcadores2">
    <w:name w:val="List Bullet 2"/>
    <w:basedOn w:val="Normal"/>
    <w:uiPriority w:val="99"/>
    <w:semiHidden/>
    <w:unhideWhenUsed/>
    <w:rsid w:val="0003148D"/>
    <w:pPr>
      <w:numPr>
        <w:numId w:val="8"/>
      </w:numPr>
      <w:contextualSpacing/>
    </w:pPr>
  </w:style>
  <w:style w:type="paragraph" w:styleId="Commarcadores3">
    <w:name w:val="List Bullet 3"/>
    <w:basedOn w:val="Normal"/>
    <w:uiPriority w:val="99"/>
    <w:semiHidden/>
    <w:unhideWhenUsed/>
    <w:rsid w:val="0003148D"/>
    <w:pPr>
      <w:numPr>
        <w:numId w:val="9"/>
      </w:numPr>
      <w:contextualSpacing/>
    </w:pPr>
  </w:style>
  <w:style w:type="paragraph" w:styleId="Commarcadores4">
    <w:name w:val="List Bullet 4"/>
    <w:basedOn w:val="Normal"/>
    <w:uiPriority w:val="99"/>
    <w:semiHidden/>
    <w:unhideWhenUsed/>
    <w:rsid w:val="0003148D"/>
    <w:pPr>
      <w:numPr>
        <w:numId w:val="10"/>
      </w:numPr>
      <w:contextualSpacing/>
    </w:pPr>
  </w:style>
  <w:style w:type="paragraph" w:styleId="Commarcadores5">
    <w:name w:val="List Bullet 5"/>
    <w:basedOn w:val="Normal"/>
    <w:uiPriority w:val="99"/>
    <w:semiHidden/>
    <w:unhideWhenUsed/>
    <w:rsid w:val="0003148D"/>
    <w:pPr>
      <w:numPr>
        <w:numId w:val="11"/>
      </w:numPr>
      <w:contextualSpacing/>
    </w:pPr>
  </w:style>
  <w:style w:type="paragraph" w:styleId="Recuodecorpodetexto2">
    <w:name w:val="Body Text Indent 2"/>
    <w:basedOn w:val="Normal"/>
    <w:link w:val="Recuodecorpodetexto2Char"/>
    <w:uiPriority w:val="99"/>
    <w:semiHidden/>
    <w:unhideWhenUsed/>
    <w:rsid w:val="0003148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3148D"/>
  </w:style>
  <w:style w:type="paragraph" w:styleId="Recuodecorpodetexto3">
    <w:name w:val="Body Text Indent 3"/>
    <w:basedOn w:val="Normal"/>
    <w:link w:val="Recuodecorpodetexto3Char"/>
    <w:uiPriority w:val="99"/>
    <w:semiHidden/>
    <w:unhideWhenUsed/>
    <w:rsid w:val="0003148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3148D"/>
    <w:rPr>
      <w:sz w:val="16"/>
      <w:szCs w:val="16"/>
    </w:rPr>
  </w:style>
  <w:style w:type="paragraph" w:styleId="Recuonormal">
    <w:name w:val="Normal Indent"/>
    <w:basedOn w:val="Normal"/>
    <w:uiPriority w:val="99"/>
    <w:semiHidden/>
    <w:unhideWhenUsed/>
    <w:rsid w:val="0003148D"/>
    <w:pPr>
      <w:ind w:left="720"/>
    </w:pPr>
  </w:style>
  <w:style w:type="paragraph" w:styleId="Textodecomentrio">
    <w:name w:val="annotation text"/>
    <w:basedOn w:val="Normal"/>
    <w:link w:val="TextodecomentrioChar"/>
    <w:uiPriority w:val="99"/>
    <w:unhideWhenUsed/>
    <w:rsid w:val="0003148D"/>
    <w:pPr>
      <w:spacing w:line="240" w:lineRule="auto"/>
    </w:pPr>
  </w:style>
  <w:style w:type="character" w:customStyle="1" w:styleId="TextodecomentrioChar">
    <w:name w:val="Texto de comentário Char"/>
    <w:basedOn w:val="Fontepargpadro"/>
    <w:link w:val="Textodecomentrio"/>
    <w:uiPriority w:val="99"/>
    <w:rsid w:val="0003148D"/>
    <w:rPr>
      <w:sz w:val="20"/>
      <w:szCs w:val="20"/>
    </w:rPr>
  </w:style>
  <w:style w:type="paragraph" w:styleId="Assuntodocomentrio">
    <w:name w:val="annotation subject"/>
    <w:basedOn w:val="Textodecomentrio"/>
    <w:next w:val="Textodecomentrio"/>
    <w:link w:val="AssuntodocomentrioChar"/>
    <w:uiPriority w:val="99"/>
    <w:semiHidden/>
    <w:unhideWhenUsed/>
    <w:rsid w:val="0003148D"/>
    <w:rPr>
      <w:b/>
      <w:bCs/>
    </w:rPr>
  </w:style>
  <w:style w:type="character" w:customStyle="1" w:styleId="AssuntodocomentrioChar">
    <w:name w:val="Assunto do comentário Char"/>
    <w:basedOn w:val="TextodecomentrioChar"/>
    <w:link w:val="Assuntodocomentrio"/>
    <w:uiPriority w:val="99"/>
    <w:semiHidden/>
    <w:rsid w:val="0003148D"/>
    <w:rPr>
      <w:b/>
      <w:bCs/>
      <w:sz w:val="20"/>
      <w:szCs w:val="20"/>
    </w:rPr>
  </w:style>
  <w:style w:type="paragraph" w:styleId="Sumrio1">
    <w:name w:val="toc 1"/>
    <w:basedOn w:val="Normal"/>
    <w:next w:val="Normal"/>
    <w:autoRedefine/>
    <w:uiPriority w:val="39"/>
    <w:semiHidden/>
    <w:unhideWhenUsed/>
    <w:rsid w:val="0003148D"/>
    <w:pPr>
      <w:spacing w:after="100"/>
    </w:pPr>
  </w:style>
  <w:style w:type="paragraph" w:styleId="Sumrio2">
    <w:name w:val="toc 2"/>
    <w:basedOn w:val="Normal"/>
    <w:next w:val="Normal"/>
    <w:autoRedefine/>
    <w:uiPriority w:val="39"/>
    <w:semiHidden/>
    <w:unhideWhenUsed/>
    <w:rsid w:val="0003148D"/>
    <w:pPr>
      <w:spacing w:after="100"/>
      <w:ind w:left="220"/>
    </w:pPr>
  </w:style>
  <w:style w:type="paragraph" w:styleId="Sumrio3">
    <w:name w:val="toc 3"/>
    <w:basedOn w:val="Normal"/>
    <w:next w:val="Normal"/>
    <w:autoRedefine/>
    <w:uiPriority w:val="39"/>
    <w:semiHidden/>
    <w:unhideWhenUsed/>
    <w:rsid w:val="0003148D"/>
    <w:pPr>
      <w:spacing w:after="100"/>
      <w:ind w:left="440"/>
    </w:pPr>
  </w:style>
  <w:style w:type="paragraph" w:styleId="Sumrio4">
    <w:name w:val="toc 4"/>
    <w:basedOn w:val="Normal"/>
    <w:next w:val="Normal"/>
    <w:autoRedefine/>
    <w:uiPriority w:val="39"/>
    <w:semiHidden/>
    <w:unhideWhenUsed/>
    <w:rsid w:val="0003148D"/>
    <w:pPr>
      <w:spacing w:after="100"/>
      <w:ind w:left="660"/>
    </w:pPr>
  </w:style>
  <w:style w:type="paragraph" w:styleId="Sumrio5">
    <w:name w:val="toc 5"/>
    <w:basedOn w:val="Normal"/>
    <w:next w:val="Normal"/>
    <w:autoRedefine/>
    <w:uiPriority w:val="39"/>
    <w:semiHidden/>
    <w:unhideWhenUsed/>
    <w:rsid w:val="0003148D"/>
    <w:pPr>
      <w:spacing w:after="100"/>
      <w:ind w:left="880"/>
    </w:pPr>
  </w:style>
  <w:style w:type="paragraph" w:styleId="Sumrio6">
    <w:name w:val="toc 6"/>
    <w:basedOn w:val="Normal"/>
    <w:next w:val="Normal"/>
    <w:autoRedefine/>
    <w:uiPriority w:val="39"/>
    <w:semiHidden/>
    <w:unhideWhenUsed/>
    <w:rsid w:val="0003148D"/>
    <w:pPr>
      <w:spacing w:after="100"/>
      <w:ind w:left="1100"/>
    </w:pPr>
  </w:style>
  <w:style w:type="paragraph" w:styleId="Sumrio7">
    <w:name w:val="toc 7"/>
    <w:basedOn w:val="Normal"/>
    <w:next w:val="Normal"/>
    <w:autoRedefine/>
    <w:uiPriority w:val="39"/>
    <w:semiHidden/>
    <w:unhideWhenUsed/>
    <w:rsid w:val="0003148D"/>
    <w:pPr>
      <w:spacing w:after="100"/>
      <w:ind w:left="1320"/>
    </w:pPr>
  </w:style>
  <w:style w:type="paragraph" w:styleId="Sumrio8">
    <w:name w:val="toc 8"/>
    <w:basedOn w:val="Normal"/>
    <w:next w:val="Normal"/>
    <w:autoRedefine/>
    <w:uiPriority w:val="39"/>
    <w:semiHidden/>
    <w:unhideWhenUsed/>
    <w:rsid w:val="0003148D"/>
    <w:pPr>
      <w:spacing w:after="100"/>
      <w:ind w:left="1540"/>
    </w:pPr>
  </w:style>
  <w:style w:type="paragraph" w:styleId="Sumrio9">
    <w:name w:val="toc 9"/>
    <w:basedOn w:val="Normal"/>
    <w:next w:val="Normal"/>
    <w:autoRedefine/>
    <w:uiPriority w:val="39"/>
    <w:semiHidden/>
    <w:unhideWhenUsed/>
    <w:rsid w:val="0003148D"/>
    <w:pPr>
      <w:spacing w:after="100"/>
      <w:ind w:left="1760"/>
    </w:pPr>
  </w:style>
  <w:style w:type="paragraph" w:styleId="Textoembloco">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demacro">
    <w:name w:val="macro"/>
    <w:link w:val="Textodemacro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har">
    <w:name w:val="Texto de macro Char"/>
    <w:basedOn w:val="Fontepargpadro"/>
    <w:link w:val="Textodemacro"/>
    <w:uiPriority w:val="99"/>
    <w:semiHidden/>
    <w:rsid w:val="0003148D"/>
    <w:rPr>
      <w:rFonts w:ascii="Consolas" w:hAnsi="Consolas" w:cs="Consolas"/>
      <w:sz w:val="20"/>
      <w:szCs w:val="20"/>
    </w:rPr>
  </w:style>
  <w:style w:type="paragraph" w:styleId="TextosemFormatao">
    <w:name w:val="Plain Text"/>
    <w:basedOn w:val="Normal"/>
    <w:link w:val="TextosemFormataoChar"/>
    <w:uiPriority w:val="99"/>
    <w:semiHidden/>
    <w:unhideWhenUsed/>
    <w:rsid w:val="0003148D"/>
    <w:pPr>
      <w:spacing w:line="240" w:lineRule="auto"/>
    </w:pPr>
    <w:rPr>
      <w:rFonts w:ascii="Consolas" w:hAnsi="Consolas" w:cs="Consolas"/>
      <w:sz w:val="21"/>
      <w:szCs w:val="21"/>
    </w:rPr>
  </w:style>
  <w:style w:type="character" w:customStyle="1" w:styleId="TextosemFormataoChar">
    <w:name w:val="Texto sem Formatação Char"/>
    <w:basedOn w:val="Fontepargpadro"/>
    <w:link w:val="TextosemFormatao"/>
    <w:uiPriority w:val="99"/>
    <w:semiHidden/>
    <w:rsid w:val="0003148D"/>
    <w:rPr>
      <w:rFonts w:ascii="Consolas" w:hAnsi="Consolas" w:cs="Consolas"/>
      <w:sz w:val="21"/>
      <w:szCs w:val="21"/>
    </w:rPr>
  </w:style>
  <w:style w:type="paragraph" w:styleId="Textodenotaderodap">
    <w:name w:val="footnote text"/>
    <w:basedOn w:val="Normal"/>
    <w:link w:val="TextodenotaderodapChar"/>
    <w:uiPriority w:val="99"/>
    <w:semiHidden/>
    <w:unhideWhenUsed/>
    <w:rsid w:val="0003148D"/>
    <w:pPr>
      <w:spacing w:line="240" w:lineRule="auto"/>
    </w:pPr>
  </w:style>
  <w:style w:type="character" w:customStyle="1" w:styleId="TextodenotaderodapChar">
    <w:name w:val="Texto de nota de rodapé Char"/>
    <w:basedOn w:val="Fontepargpadro"/>
    <w:link w:val="Textodenotaderodap"/>
    <w:uiPriority w:val="99"/>
    <w:semiHidden/>
    <w:rsid w:val="0003148D"/>
    <w:rPr>
      <w:sz w:val="20"/>
      <w:szCs w:val="20"/>
    </w:rPr>
  </w:style>
  <w:style w:type="paragraph" w:styleId="Textodenotadefim">
    <w:name w:val="endnote text"/>
    <w:basedOn w:val="Normal"/>
    <w:link w:val="TextodenotadefimChar"/>
    <w:uiPriority w:val="99"/>
    <w:semiHidden/>
    <w:unhideWhenUsed/>
    <w:rsid w:val="0003148D"/>
    <w:pPr>
      <w:spacing w:line="240" w:lineRule="auto"/>
    </w:pPr>
  </w:style>
  <w:style w:type="character" w:customStyle="1" w:styleId="TextodenotadefimChar">
    <w:name w:val="Texto de nota de fim Char"/>
    <w:basedOn w:val="Fontepargpadro"/>
    <w:link w:val="Textodenotadefim"/>
    <w:uiPriority w:val="99"/>
    <w:semiHidden/>
    <w:rsid w:val="0003148D"/>
    <w:rPr>
      <w:sz w:val="20"/>
      <w:szCs w:val="20"/>
    </w:rPr>
  </w:style>
  <w:style w:type="character" w:customStyle="1" w:styleId="Ttulo1Char">
    <w:name w:val="Título 1 Char"/>
    <w:basedOn w:val="Fontepargpadro"/>
    <w:link w:val="Ttulo1"/>
    <w:uiPriority w:val="9"/>
    <w:rsid w:val="004F5E36"/>
    <w:rPr>
      <w:rFonts w:ascii="Arial" w:eastAsia="Times New Roman" w:hAnsi="Arial" w:cs="Times New Roman"/>
      <w:b/>
      <w:sz w:val="20"/>
      <w:szCs w:val="20"/>
      <w:lang w:val="en-GB"/>
    </w:rPr>
  </w:style>
  <w:style w:type="character" w:customStyle="1" w:styleId="Ttulo2Char">
    <w:name w:val="Título 2 Char"/>
    <w:basedOn w:val="Fontepargpadro"/>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03148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remissivo">
    <w:name w:val="index heading"/>
    <w:basedOn w:val="Normal"/>
    <w:next w:val="Remissivo1"/>
    <w:uiPriority w:val="99"/>
    <w:semiHidden/>
    <w:unhideWhenUsed/>
    <w:rsid w:val="0003148D"/>
    <w:rPr>
      <w:rFonts w:asciiTheme="majorHAnsi" w:eastAsiaTheme="majorEastAsia" w:hAnsiTheme="majorHAnsi" w:cstheme="majorBidi"/>
      <w:b/>
      <w:bCs/>
    </w:rPr>
  </w:style>
  <w:style w:type="paragraph" w:styleId="Ttulodendicedeautoridades">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CabealhodoSumrio">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ontepargpadr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Cabealho">
    <w:name w:val="header"/>
    <w:basedOn w:val="Normal"/>
    <w:link w:val="CabealhoChar"/>
    <w:uiPriority w:val="99"/>
    <w:unhideWhenUsed/>
    <w:rsid w:val="005278B7"/>
    <w:pPr>
      <w:tabs>
        <w:tab w:val="clear" w:pos="7100"/>
        <w:tab w:val="center" w:pos="4819"/>
        <w:tab w:val="right" w:pos="9638"/>
      </w:tabs>
      <w:spacing w:line="240" w:lineRule="auto"/>
    </w:pPr>
  </w:style>
  <w:style w:type="character" w:customStyle="1" w:styleId="CabealhoChar">
    <w:name w:val="Cabeçalho Char"/>
    <w:basedOn w:val="Fontepargpadro"/>
    <w:link w:val="Cabealho"/>
    <w:uiPriority w:val="99"/>
    <w:rsid w:val="005278B7"/>
    <w:rPr>
      <w:rFonts w:ascii="Arial" w:eastAsia="Times New Roman" w:hAnsi="Arial" w:cs="Times New Roman"/>
      <w:sz w:val="18"/>
      <w:szCs w:val="20"/>
      <w:lang w:val="en-GB"/>
    </w:rPr>
  </w:style>
  <w:style w:type="paragraph" w:styleId="Rodap">
    <w:name w:val="footer"/>
    <w:basedOn w:val="Normal"/>
    <w:link w:val="RodapChar"/>
    <w:uiPriority w:val="99"/>
    <w:unhideWhenUsed/>
    <w:rsid w:val="005278B7"/>
    <w:pPr>
      <w:tabs>
        <w:tab w:val="clear" w:pos="7100"/>
        <w:tab w:val="center" w:pos="4819"/>
        <w:tab w:val="right" w:pos="9638"/>
      </w:tabs>
      <w:spacing w:line="240" w:lineRule="auto"/>
    </w:pPr>
  </w:style>
  <w:style w:type="character" w:customStyle="1" w:styleId="RodapChar">
    <w:name w:val="Rodapé Char"/>
    <w:basedOn w:val="Fontepargpadro"/>
    <w:link w:val="Rodap"/>
    <w:uiPriority w:val="99"/>
    <w:rsid w:val="005278B7"/>
    <w:rPr>
      <w:rFonts w:ascii="Arial" w:eastAsia="Times New Roman" w:hAnsi="Arial" w:cs="Times New Roman"/>
      <w:sz w:val="18"/>
      <w:szCs w:val="20"/>
      <w:lang w:val="en-GB"/>
    </w:rPr>
  </w:style>
  <w:style w:type="table" w:styleId="Tabelacomgrade">
    <w:name w:val="Table Grid"/>
    <w:basedOn w:val="Tabelanormal"/>
    <w:uiPriority w:val="59"/>
    <w:rsid w:val="00660E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904C62"/>
    <w:rPr>
      <w:color w:val="0000FF" w:themeColor="hyperlink"/>
      <w:u w:val="single"/>
    </w:rPr>
  </w:style>
  <w:style w:type="character" w:customStyle="1" w:styleId="eudoraheader">
    <w:name w:val="eudoraheader"/>
    <w:basedOn w:val="Fontepargpadr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grafodaLista">
    <w:name w:val="List Paragraph"/>
    <w:basedOn w:val="Normal"/>
    <w:uiPriority w:val="34"/>
    <w:rsid w:val="00280F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nedio.jair@embrapa.br" TargetMode="Externa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37DE0-B8A9-4A60-B453-DA08F1C87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3852</Words>
  <Characters>20805</Characters>
  <Application>Microsoft Office Word</Application>
  <DocSecurity>0</DocSecurity>
  <Lines>173</Lines>
  <Paragraphs>49</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24608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Nedio Jair Wurlitzer</cp:lastModifiedBy>
  <cp:revision>2</cp:revision>
  <cp:lastPrinted>2015-05-12T18:31:00Z</cp:lastPrinted>
  <dcterms:created xsi:type="dcterms:W3CDTF">2023-04-14T11:59:00Z</dcterms:created>
  <dcterms:modified xsi:type="dcterms:W3CDTF">2023-04-14T11:59:00Z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